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武则天退位后的皇权保护：无人敢动的皇后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武则天，中国历史上唯一一位女皇帝，她的一生充满了传奇色彩。在退位之后，她依然能够保持对皇权的控制，成为无人敢动的皇后。本文将带您了解武则天退位后的皇权保护，以及她如何巩固自己的地位。　　一、武则天退位背景　　公元705年，武则天在位21...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武则天，中国历史上唯一一位女皇帝，她的一生充满了传奇色彩。在退位之后，她依然能够保持对皇权的控制，成为无人敢动的皇后。本文将带您了解武则天退位后的皇权保护，以及她如何巩固自己的地位。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一、武则天退位背景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武则天在位21年后，因年事已高，身体日渐衰弱，决定退位还政于唐中宗李显。然而，在她退位之前，她已经为自己的地位和权力做好了充分的准备。她在退位前设立了一个名为“东厂”的特务机构，负责监视朝廷内外的动静，确保自己的地位不受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二、武则天退位后的皇权保护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1.设立东厂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是武则天为了巩固自己的地位而设立的一个特务机构。东厂的主要任务是监视朝廷内外的动静，打击异己势力，确保自己的地位不受威胁。东厂的权力极大，甚至可以对皇帝的亲信进行调查。这使得武则天在退位后依然能够对朝政保持高度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2.培养亲信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武则天在位期间，一直重视培养自己的亲信。她选拔了一批忠诚可靠的官员，如狄仁杰、张柬之等，让他们担任重要职务。这些亲信在武则天退位后，继续为她效力，维护她的地位和权力。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3.控制军队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武则天在位期间，一直牢牢掌握着军队的指挥权。她任命了一批忠诚于自己的将领，如韦后、武三思等，让他们统领禁军。这些将领在武则天退位后，依然效忠于她，确保她的安全。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三、武则天退位后的巩固地位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1.废黜太子李显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武则天在退位后，废黜了唐中宗李显的太子身份，立李旦为太子。这一举动使得李显失去了皇位继承权，进一步巩固了武则天的地位。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2.打压反对势力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武则天在退位后，依然对反对势力进行打压。她利用东厂的力量，对一些不满自己统治的官员进行打压，甚至处死。这使得朝中的反对势力无法抬头，确保了她的地位不受威胁。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总结：武则天退位后的皇权保护得益于她的智慧和手段。她通过设立东厂、培养亲信、控制军队等手段，确保了自己的地位和权力不受威胁。这使得她在退位后依然能够成为无人敢动的皇后。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