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弘治中兴与万历中兴有什么不同?</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弘治中兴背景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w:t>
      </w:r>
    </w:p>
    <w:p>
      <w:pPr>
        <w:ind w:left="0" w:right="0" w:firstLine="560"/>
        <w:spacing w:before="450" w:after="450" w:line="312" w:lineRule="auto"/>
      </w:pPr>
      <w:r>
        <w:rPr>
          <w:rFonts w:ascii="宋体" w:hAnsi="宋体" w:eastAsia="宋体" w:cs="宋体"/>
          <w:color w:val="000"/>
          <w:sz w:val="28"/>
          <w:szCs w:val="28"/>
        </w:rPr>
        <w:t xml:space="preserve"> 　弘治中兴背景</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万历皇帝画像</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弘治中兴多少年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弘治中兴是指的哪个皇帝</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2026-06-19T11:54:26+08:00</dcterms:created>
  <dcterms:modified xsi:type="dcterms:W3CDTF">2026-06-19T11:54:26+08:00</dcterms:modified>
</cp:coreProperties>
</file>

<file path=docProps/custom.xml><?xml version="1.0" encoding="utf-8"?>
<Properties xmlns="http://schemas.openxmlformats.org/officeDocument/2006/custom-properties" xmlns:vt="http://schemas.openxmlformats.org/officeDocument/2006/docPropsVTypes"/>
</file>