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解密：稷下道家所推崇的管子一书包含了哪些内容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管子》是中国春秋时期(公元前770～前476)齐国政治家﹑思想家管仲及管仲学派的言行事迹。《汉书·艺文志》将其列入子部道家类，《隋书·经籍志》列入法家类。史学家章学诚说：《管子》，道家之言也。据中国日本学者统计《管子》全书几乎各篇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是中国春秋时期(公元前770～前476)齐国政治家﹑思想家管仲及管仲学派的言行事迹。《汉书·艺文志》将其列入子部道家类，《隋书·经籍志》列入法家类。史学家章学诚说：《管子》，道家之言也。据中国日本学者统计《管子》全书几乎各篇都有《老子》的语言片段与哲学思想。也是先秦时期各学派的言论汇编，内容很庞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以黄老道家为主既提出以法治国的具体方案，又重视道德教育的基础作用;既强调以君主为核心的政治体制，又主张以人为本，促进农工商业的均衡发展;既有雄奇的霸道之策，又坚持正义的王道理想;既避免了晋法家忽视道德人心的倾向，又补充了儒家缺乏实际政治经验的不足，在思想史上具有不可抹杀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原为86篇，至唐又亡佚10篇，今本存76篇，托名春秋管仲著。其实《管子》同先秦许多典籍一样，既非一人之著，亦非一时之书。是一部稷下黄老道家学派的文集汇编。当前，学术界普遍认同这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览《管子》全书，内容较为庞杂，汇集了道、法、儒、名、兵、农、阴阳、轻重等百家之学。但其思想的主流是黄老道家思想，其思想特点是将道家、法家思想有机地结合起来，既为法治找到了哲学基础，又将道家思想切实地落实到了社会人事当中，这同三晋法家思想是有根本区别的。《汉书》把《管子》分在道家类，《隋志》以后的类书却把它分在法家类。不同的归属恰好说明《管子》的思想特点。同时，黄老道家兼容并包，积极吸收儒、墨等学派的思想长处，将礼义和等级名分的理论纳入自己的思想体系中，主张礼法结合，倡导确立严格的等级名分体系及以之为基础的社会道德规范。这些都适应了战国中期的时代需要，反映了齐国变法时期的政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中的《心术上》、《心术下》、《白心》、《内业》、《水地》、《形势》、《宙合》、《枢言》、《九守》、《正》、《形势解》“、《版法解》、《势》等等文章侧重于用道家哲学来阐释法家政治，通常被认为是黄老道家的作品⑨。它集中地反映了黄老道家道法结合、兼容并包的学术特点，是继《黄帝四经》之后黄老道家思想的又一大发展，它促使黄老学派的思想进一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《水地》提出水是万物本原的思想﹐学术界有人认为这是管仲的思想﹐也有人认为是稷下唯物派的思想。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心术》上下﹑《白心》﹑《内业》中﹐提出了精气为万物本原的朴素唯物主义精气说﹐认为万物﹑人都产生于精气﹔精气是一种精细的气。说“凡物之精﹐此则为生﹐下生五谷﹐上为列星”﹐“精也者﹐气之精者也”。文中也讲“道”﹐认为道是“虚而无形”﹐不能被感官直接感知﹐口不能言﹐目不能见﹐耳不能听。道与精气的关系﹐讲得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老之学”顾名思义就是黄帝、老子之学，“黄老”之称，始见于《史记》②，现存文献有保存在《管子》中的各篇，此外还有1973年在湖南长沙马王堆出土的帛书本《黄帝四经》。帛书中《十六经》的内容托言黄帝，只能证明它是齐国背景下的产物，另外也是更关键的，《黄帝四经》的内容与《管子》一书中相关内容相比，十分相似。这其中“节用民力，因地制宜地发展生产，让老百姓能够发家致富，这些都是老学思想所没有的”③。拿这些“老学思想所没有”的东西，与《管子·’经言》中的《牧民》《形势》《权修》等诸篇对照一下，帛书思想的地域背景在齐这一点，便可一目了然。《管子》黄老各篇与帛书《黄帝四经》是一个学派的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