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阮籍：魏晋风度中的不羁灵魂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在魏晋时期，文人墨客以风采照人，其中阮籍的名字格外璀璨。作为建安以来五言诗的先驱，他的笔下倾注了悲愤与不羁，将浓烈的情感融入诗文之中，为后世留下了宝贵的精神财富。　　阮籍，字嗣宗，三国时期魏国的诗人，他也是阮瑀之子，曾官拜步兵校尉，被世...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在魏晋时期，文人墨客以风采照人，其中阮籍的名字格外璀璨。作为建安以来五言诗的先驱，他的笔下倾注了悲愤与不羁，将浓烈的情感融入诗文之中，为后世留下了宝贵的精神财富。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字嗣宗，三国时期魏国的诗人，他也是阮瑀之子，曾官拜步兵校尉，被世人称作“阮步兵”。政治上，阮籍始终持谨慎避祸的态度，他崇奉老庄之学，隐晦其诗歌特色。阮籍的故事多如繁星，但其中最著名者莫过于“穷途之哭”与“醉避亲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儒家礼法有着深刻的认识与个人的理解。他以一种超乎常人的勇气与直率表现自己的好恶。阮籍遇到不喜欢的人时，他使用“白眼”相对；而面对他所欣赏的人，则换成“青眼”。这种直接的表现方式，映射了阮籍不羁的个性和他对人际关系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待礼教的态度更是体现了他的个性。在遭丧母之际，不同于当时严格的服丧规范，阮籍在晋文王（司马昭）的宴席上喝酒吃肉。在当时，这种行为被视为大不敬，但阮籍以自己的行为挑战了世俗的礼法，展现了他自由奔放的生活态度和对形式束缚的强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“穷途之哭”则是阮籍内心深处挣扎与绝望的体现。据记载，阮籍在穷途末路之时，泪水满衫，泣不成声。这一行为不仅显示了阮籍对时代乱世的无奈，也反映了他对于个人命运的悲观感慨。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阮籍与嵇康之间的深厚友谊也为世人所津津乐道。他们相互理解，互相尊重，在动荡的时世中彼此为对方提供了最宝贵的精神支持。这段友谊至今仍是文人相知的典范，让人们窥见古代士大夫间深情厚谊的一面。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阮籍的一生，可以说是在不羁中追求自由，在悲愤中寻找解脱的历程。他的诗词、他的行动、他的思想，无一不在向世人展现一个真实而复杂的阮籍，一位不愿被世俗枷锁束缚的文人。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如今，我们回望阮籍的一生，依然能从中感受到那个时代的风云变幻，也能体会到一个真正的文人对于理想的执着与追求。阮籍的故事，不仅仅是历史的记载，它们是人性的光辉，是文化的传承，是永恒的话题。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