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耶律大石为何不灭金：战略抉择下的历史必然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1125年，辽天祚帝被金军俘虏，辽国灭亡。然而，契丹贵族耶律大石率领残部西迁，在中亚建立西辽帝国，疆域东起土拉河，西至咸海，成为中亚地区最强大的政权之一。这位被誉为“中华民族最杰出历史人物”的帝王，在巅峰时期却未选择东征灭金，这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辽天祚帝被金军俘虏，辽国灭亡。然而，契丹贵族耶律大石率领残部西迁，在中亚建立西辽帝国，疆域东起土拉河，西至咸海，成为中亚地区最强大的政权之一。这位被誉为“中华民族最杰出历史人物”的帝王，在巅峰时期却未选择东征灭金，这一战略抉择背后，是地理、军事、政治与经济多重因素交织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一、地理阻隔：自然屏障与战略纵深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的核心统治区位于中亚河中地区，与金朝相隔万里，中间横亘着蒙古高原的沙漠、戈壁与山脉。这种地理隔绝形成天然屏障，使金军难以对西辽构成直接威胁，却也限制了西辽的东征能力。耶律大石西征初期，曾试图通过高昌回鹘向东进攻金朝，但因沙漠阻隔、补给困难被迫折返。即便在巅峰时期，西辽中央直辖区的八剌沙衮地区仅有8万余户，其经济基础远不足以支撑跨越万里沙漠的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相比之下，金朝占据辽东、河北、山西等沃野千里之地，人口与资源均远超西辽。耶律大石深知，若强行东征，西辽将面临“战线过长、补给不足”的致命风险，甚至可能重蹈天祚帝覆辙。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二、军事现实：实力对比与战略优先级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巅峰时期虽在卡特万之战中击败塞尔柱帝国联军，确立了在中亚的霸权，但其军事实力仍无法与金朝抗衡。金朝在灭辽后，又发动靖康之变灭北宋，其“女真不满万，满万不可敌”的骑兵军团，在冷兵器时代具有绝对优势。而西辽的军队构成以契丹残部与中亚突厥语族部落为主，虽擅长沙漠作战，却缺乏攻克金朝坚固城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西辽在中亚的统治并不稳固。花剌子模、葛逻禄等部落虽表面臣服，实则暗藏反心。耶律大石需时刻防范内部叛乱，无法将全部兵力投入东征。例如，卡特万之战后，西辽虽占领撒马尔罕，却因花剌子模反复叛乱，被迫陷入长期消耗战。这种“攘外必先安内”的现实，迫使耶律大石将战略重心放在巩固中亚统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三、政治博弈：盟友体系与外交掣肘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西迁后，积极构建反金联盟，与西夏、南宋及西北各部保持松散同盟关系。然而，这一联盟在金朝的分化瓦解下逐渐瓦解。南宋在绍兴和议后彻底倒向金朝，西夏也因金朝军事压力而自顾不暇。耶律大石若东征，将面临孤立无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金朝在灭辽后迅速汉化，采纳中原官制与文化，其政治合法性得到汉族士大夫认可。相比之下，西辽虽推行汉化政策，但在中亚的统治仍以突厥化契丹贵族为核心，难以获得中原民心支持。耶律大石深知，若强行东征，不仅无法动员中原汉人反抗金朝，反而可能因“外族入侵”标签而失去道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四、经济考量：资源分配与生存逻辑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的经济基础以中亚绿洲农业与丝绸之路贸易为主，其财富来源依赖对河中地区的控制。若倾国东征，将导致后方空虚，使花剌子模等部落有机可乘。此外，金朝占据的华北平原是当时世界最富庶的农业区之一，其经济总量远超西辽。耶律大石若想灭金，需先在中亚积累数十年财富，构建足以支撑长期战争的经济体系，而这在金朝的压制下几乎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耶律大石曾尝试过东征。1134年，他派遣七万骑兵东征，试图复兴辽朝，但因遇到大沙漠无法继续进军而被迫回师。这一失败彻底打消了他灭金的念头，转而将精力投入中亚经营。他废除伊斯兰法典中的苛税，减轻农民负担，促进农业发展；提倡宗教自由，允许基督教、佛教与伊斯兰教共存，赢得中亚各族支持。这些政策使西辽成为中亚历史上最包容的政权之一，却也意味着其战略重心已彻底转向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五、历史启示：战略抉择的智慧与局限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不灭金的抉择，本质上是现实主义战略的体现。他深知，在金朝鼎盛时期，西辽的唯一生存之道是通过地理隔绝与战略收缩，在中亚建立稳固根据地。这种“以空间换时间”的策略，使契丹文明得以在中亚延续近百年，甚至影响了成吉思汗西征的路线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抉择也暴露了流亡政权的局限性。西辽虽在中亚取得辉煌成就，却始终无法摆脱“偏安一隅”的命运。当蒙古帝国崛起后，西辽因长期疏于军事建设，最终被成吉思汗的孙子拔都所灭。耶律大石的战略智慧，终究未能改变契丹人失去中原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