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对于政府公文段落字体格式要求及感悟</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政府公文段落字体格式要求及感悟一1．尺寸：采用国际标准a4型，成品尺寸为210mm×297mm,允许误差±2mm。2．页面设置：页边距上、下为75px，左、右为65px；版式中页眉为0、页脚为62.5px;文档网络中网格为无网络。3．版...</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