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有关解放思想振兴发展研讨笔谈及收获(14篇)</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研讨笔谈及收获一对党的思想路线、方针政策的贯彻和执行，缺乏应有的政治敏锐性和洞察力，不具有一种时不我待的使命感和危机感。没有培养自己从政治的角度来观察、分析问题，对事物的认识只停留在表面，理解不够深刻、全面。政治学习停于...</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有关解放思想振兴发展研讨笔谈及收获一</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有关解放思想振兴发展研讨笔谈及收获二</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有关解放思想振兴发展研讨笔谈及收获三</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有关解放思想振兴发展研讨笔谈及收获四</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有关解放思想振兴发展研讨笔谈及收获六</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有关解放思想振兴发展研讨笔谈及收获七</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有关解放思想振兴发展研讨笔谈及收获八</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有关解放思想振兴发展研讨笔谈及收获九</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有关解放思想振兴发展研讨笔谈及收获十</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4"/>
          <w:szCs w:val="34"/>
          <w:b w:val="1"/>
          <w:bCs w:val="1"/>
        </w:rPr>
        <w:t xml:space="preserve">有关解放思想振兴发展研讨笔谈及收获十一</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有关解放思想振兴发展研讨笔谈及收获十二</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2026-04-29T08:09:05+08:00</dcterms:created>
  <dcterms:modified xsi:type="dcterms:W3CDTF">2026-04-29T08:09:05+08:00</dcterms:modified>
</cp:coreProperties>
</file>

<file path=docProps/custom.xml><?xml version="1.0" encoding="utf-8"?>
<Properties xmlns="http://schemas.openxmlformats.org/officeDocument/2006/custom-properties" xmlns:vt="http://schemas.openxmlformats.org/officeDocument/2006/docPropsVTypes"/>
</file>