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从企业的安全性谈偿债能力分析</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从企业的安全性谈偿债能力分析 从企业的安全性谈偿债能力分析 从企业的安全性谈偿债能力分析摘要：偿债能力分析是企业财务分析中一个重要组成内容。现有的偿债能力分析方法中存在一些问题。本文从安全性的角度剖析了其中问题所在,并分别论述了在现有的分析...</w:t>
      </w:r>
    </w:p>
    <w:p>
      <w:pPr>
        <w:ind w:left="0" w:right="0" w:firstLine="560"/>
        <w:spacing w:before="450" w:after="450" w:line="312" w:lineRule="auto"/>
      </w:pPr>
      <w:r>
        <w:rPr>
          <w:rFonts w:ascii="宋体" w:hAnsi="宋体" w:eastAsia="宋体" w:cs="宋体"/>
          <w:color w:val="000"/>
          <w:sz w:val="28"/>
          <w:szCs w:val="28"/>
        </w:rPr>
        <w:t xml:space="preserve">从企业的安全性谈偿债能力分析 从企业的安全性谈偿债能力分析 从企业的安全性谈偿债能力分析</w:t>
      </w:r>
    </w:p>
    <w:p>
      <w:pPr>
        <w:ind w:left="0" w:right="0" w:firstLine="560"/>
        <w:spacing w:before="450" w:after="450" w:line="312" w:lineRule="auto"/>
      </w:pPr>
      <w:r>
        <w:rPr>
          <w:rFonts w:ascii="宋体" w:hAnsi="宋体" w:eastAsia="宋体" w:cs="宋体"/>
          <w:color w:val="000"/>
          <w:sz w:val="28"/>
          <w:szCs w:val="28"/>
        </w:rPr>
        <w:t xml:space="preserve">摘要：偿债能力分析是企业财务分析中一个重要组成内容。现有的偿债能力分析方法中存在一些问题。本文从安全性的角度剖析了其中问题所在,并分别论述了在现有的分析方法基础上，短期偿债能力分析和长期偿债能力分析应该完善之处。</w:t>
      </w:r>
    </w:p>
    <w:p>
      <w:pPr>
        <w:ind w:left="0" w:right="0" w:firstLine="560"/>
        <w:spacing w:before="450" w:after="450" w:line="312" w:lineRule="auto"/>
      </w:pPr>
      <w:r>
        <w:rPr>
          <w:rFonts w:ascii="宋体" w:hAnsi="宋体" w:eastAsia="宋体" w:cs="宋体"/>
          <w:color w:val="000"/>
          <w:sz w:val="28"/>
          <w:szCs w:val="28"/>
        </w:rPr>
        <w:t xml:space="preserve">关键词：安全性；偿债能力；分析</w:t>
      </w:r>
    </w:p>
    <w:p>
      <w:pPr>
        <w:ind w:left="0" w:right="0" w:firstLine="560"/>
        <w:spacing w:before="450" w:after="450" w:line="312" w:lineRule="auto"/>
      </w:pPr>
      <w:r>
        <w:rPr>
          <w:rFonts w:ascii="宋体" w:hAnsi="宋体" w:eastAsia="宋体" w:cs="宋体"/>
          <w:color w:val="000"/>
          <w:sz w:val="28"/>
          <w:szCs w:val="28"/>
        </w:rPr>
        <w:t xml:space="preserve">企业的安全性是企业健康发展的基本前提。在财务分析中体现企业安全性的主要方面就是分析企业偿债能力，所以一般情况下我们总是将企业的安全性和企业偿债能力的分析联系在一起，因为对企业安全性威胁最大的是“财务失败”现象的发生，即企业无力偿还到期债务导致诉讼或破产。企业的安全性应包括两个方面的内容：一是安排好到期财务负担；二是有相对稳定的现金流入。二者不可偏废。如果仅仅满足于能偿还到期债务，企业还算不上安全。真正安全的企业应是在安排好到期财务负担的同时，有相对稳定的现金流入和盈利。从根本上来讲安全性要求企业必须具有某一时点上的债务偿还能力即静态性，而这个偿还能力又是平时盈利以及现金流入的积累即动态性。如果企业无相对稳定的现金流入或盈利，很难想象它能长久生存而不出现危机。我国绝大多数教科书上对企业偿债能力的分析都有失偏颇，并且导致企业财务分析人员教条式运用，得出的结论往往不正确。</w:t>
      </w:r>
    </w:p>
    <w:p>
      <w:pPr>
        <w:ind w:left="0" w:right="0" w:firstLine="560"/>
        <w:spacing w:before="450" w:after="450" w:line="312" w:lineRule="auto"/>
      </w:pPr>
      <w:r>
        <w:rPr>
          <w:rFonts w:ascii="宋体" w:hAnsi="宋体" w:eastAsia="宋体" w:cs="宋体"/>
          <w:color w:val="000"/>
          <w:sz w:val="28"/>
          <w:szCs w:val="28"/>
        </w:rPr>
        <w:t xml:space="preserve">一、我国企业偿债能力分析中存在的问题</w:t>
      </w:r>
    </w:p>
    <w:p>
      <w:pPr>
        <w:ind w:left="0" w:right="0" w:firstLine="560"/>
        <w:spacing w:before="450" w:after="450" w:line="312" w:lineRule="auto"/>
      </w:pPr>
      <w:r>
        <w:rPr>
          <w:rFonts w:ascii="宋体" w:hAnsi="宋体" w:eastAsia="宋体" w:cs="宋体"/>
          <w:color w:val="000"/>
          <w:sz w:val="28"/>
          <w:szCs w:val="28"/>
        </w:rPr>
        <w:t xml:space="preserve">1.现有的偿债能力分析是建立在清算基础而非持续经营基础上的。长期以来，对偿债能力的分析是建立在对企业现有资产进行清盘变卖的基础上进行的，并且认为企业的债务应该由企业的资产作保障。比如：流动比率、速动比率以及资产负债率都是基于这样的基础来计算的。这种分析基础看起来似乎十分有道理，但是并本符合企业将来的实际运行状况、企业要生存下去就不可能将所有流动资产变现来偿还流动负债，也不可能将所有资产变现来偿还企业所有债务。因此只能以持续经营为基础而非清算基础来判断企业的偿债能力，否则评价的结论只能是企业的清算偿债能力。而正常持续经营的企业偿还债务要依赖企业稳定的现金流入，所以偿债能力的分析如果不包括对企业现金流量的分析就有失偏颇。</w:t>
      </w:r>
    </w:p>
    <w:p>
      <w:pPr>
        <w:ind w:left="0" w:right="0" w:firstLine="560"/>
        <w:spacing w:before="450" w:after="450" w:line="312" w:lineRule="auto"/>
      </w:pPr>
      <w:r>
        <w:rPr>
          <w:rFonts w:ascii="宋体" w:hAnsi="宋体" w:eastAsia="宋体" w:cs="宋体"/>
          <w:color w:val="000"/>
          <w:sz w:val="28"/>
          <w:szCs w:val="28"/>
        </w:rPr>
        <w:t xml:space="preserve">2．偿还债务资金来源渠道的单一化。偿还负债的资金来源有多种渠道，可以以资产变现，可以是经营中产生的现金，还可以是新的短期融资资金。而后两种偿还渠道往往是企业在正常经营情况下常常采用的。现有的偿债能力分析大多是以资产变现为主要资金来源的渠道，显然不能正确衡量企业的债务偿还能力。这样评价企业的偿债能力必然会使企业视线狭窄，影响其决策的正确性。</w:t>
      </w:r>
    </w:p>
    <w:p>
      <w:pPr>
        <w:ind w:left="0" w:right="0" w:firstLine="560"/>
        <w:spacing w:before="450" w:after="450" w:line="312" w:lineRule="auto"/>
      </w:pPr>
      <w:r>
        <w:rPr>
          <w:rFonts w:ascii="宋体" w:hAnsi="宋体" w:eastAsia="宋体" w:cs="宋体"/>
          <w:color w:val="000"/>
          <w:sz w:val="28"/>
          <w:szCs w:val="28"/>
        </w:rPr>
        <w:t xml:space="preserve">3．现有的偿债能力分析是一种静态性的，而不是动态性的。只重视了一种静态效果，而没有充分重视在企业生产经营运转过程中的偿债能力；只重视了某一时点上的偿债能力，而不重视达到这一时点之前积累的过程。</w:t>
      </w:r>
    </w:p>
    <w:p>
      <w:pPr>
        <w:ind w:left="0" w:right="0" w:firstLine="560"/>
        <w:spacing w:before="450" w:after="450" w:line="312" w:lineRule="auto"/>
      </w:pPr>
      <w:r>
        <w:rPr>
          <w:rFonts w:ascii="宋体" w:hAnsi="宋体" w:eastAsia="宋体" w:cs="宋体"/>
          <w:color w:val="000"/>
          <w:sz w:val="28"/>
          <w:szCs w:val="28"/>
        </w:rPr>
        <w:t xml:space="preserve">4．现有的偿债能力分析没有将利息的支付与本金的偿还放在同等重要的位置。对于长期性的债务，本金数额巨大，到期一次还本，必须有一个利润或现金流入积累的过程，否则企业必然会感到巨大的财务压力。这样一个积累过程没有在财务分析中充分反映，必然导致企业产生错误的想法。</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2026-04-05T21:43:11+08:00</dcterms:created>
  <dcterms:modified xsi:type="dcterms:W3CDTF">2026-04-05T21:43:11+08:00</dcterms:modified>
</cp:coreProperties>
</file>

<file path=docProps/custom.xml><?xml version="1.0" encoding="utf-8"?>
<Properties xmlns="http://schemas.openxmlformats.org/officeDocument/2006/custom-properties" xmlns:vt="http://schemas.openxmlformats.org/officeDocument/2006/docPropsVTypes"/>
</file>