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论税收背离与地区间财力差别</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论税收背离与地区间财力差别 论税收背离与地区间财力差别论税收背离与地区间财力差别 文章来源于教育网一、税收背离的测算理论上,税源是税收的来源和出处,有税源则有税收,税源与税收应是一致的。在税制统一的情况下,一个地区所能征得的税收主要取决于该...</w:t>
      </w:r>
    </w:p>
    <w:p>
      <w:pPr>
        <w:ind w:left="0" w:right="0" w:firstLine="560"/>
        <w:spacing w:before="450" w:after="450" w:line="312" w:lineRule="auto"/>
      </w:pPr>
      <w:r>
        <w:rPr>
          <w:rFonts w:ascii="宋体" w:hAnsi="宋体" w:eastAsia="宋体" w:cs="宋体"/>
          <w:color w:val="000"/>
          <w:sz w:val="28"/>
          <w:szCs w:val="28"/>
        </w:rPr>
        <w:t xml:space="preserve">论税收背离与地区间财力差别 论税收背离与地区间财力差别论税收背离与地区间财力差别 文章来源于教育网</w:t>
      </w:r>
    </w:p>
    <w:p>
      <w:pPr>
        <w:ind w:left="0" w:right="0" w:firstLine="560"/>
        <w:spacing w:before="450" w:after="450" w:line="312" w:lineRule="auto"/>
      </w:pPr>
      <w:r>
        <w:rPr>
          <w:rFonts w:ascii="宋体" w:hAnsi="宋体" w:eastAsia="宋体" w:cs="宋体"/>
          <w:color w:val="000"/>
          <w:sz w:val="28"/>
          <w:szCs w:val="28"/>
        </w:rPr>
        <w:t xml:space="preserve">一、税收背离的测算</w:t>
      </w:r>
    </w:p>
    <w:p>
      <w:pPr>
        <w:ind w:left="0" w:right="0" w:firstLine="560"/>
        <w:spacing w:before="450" w:after="450" w:line="312" w:lineRule="auto"/>
      </w:pPr>
      <w:r>
        <w:rPr>
          <w:rFonts w:ascii="宋体" w:hAnsi="宋体" w:eastAsia="宋体" w:cs="宋体"/>
          <w:color w:val="000"/>
          <w:sz w:val="28"/>
          <w:szCs w:val="28"/>
        </w:rPr>
        <w:t xml:space="preserve">理论上,税源是税收的来源和出处,有税源则有税收,税源与税收应是一致的。在税制统一的情况下,一个地区所能征得的税收主要取决于该地的税源和税收征管水平,而一个地区最终能获得的税收又取决于中央与地方的税收分配制度。企业汇总纳税、跨地区经营、生产与管理的空间分离、总部经济、资源产品的价格转移、企业策略性定价、地区间税收竞争等,为税源和税收背离创造了条件。而我国税收收入归属权与税收征管权混同,地方税收征管的属地管辖、属人管辖和行业管辖交织并存,地区间税收分配协调机制的缺失等,是我国地区间税源与税收背离的主要原因。税收背离或转移产生的税收在地区间非正常流动,税源与税收收益的分离,造成了地区间征得税收的扭曲。在相对统一的中央与地方的税收分配制度下,以征得的已发生税收背离的税收收入在中央和地方之间分配,使税收征收上的税源与税收背离转换成了地区间税收收益的背离,造成了地区间财力的非正常转移和税收分配的不公,加大了地区间的财力差距,进而强化了地区间经济社会发展的非均衡。</w:t>
      </w:r>
    </w:p>
    <w:p>
      <w:pPr>
        <w:ind w:left="0" w:right="0" w:firstLine="560"/>
        <w:spacing w:before="450" w:after="450" w:line="312" w:lineRule="auto"/>
      </w:pPr>
      <w:r>
        <w:rPr>
          <w:rFonts w:ascii="宋体" w:hAnsi="宋体" w:eastAsia="宋体" w:cs="宋体"/>
          <w:color w:val="000"/>
          <w:sz w:val="28"/>
          <w:szCs w:val="28"/>
        </w:rPr>
        <w:t xml:space="preserve">二、税收背离的地区间财力差异效应</w:t>
      </w:r>
    </w:p>
    <w:p>
      <w:pPr>
        <w:ind w:left="0" w:right="0" w:firstLine="560"/>
        <w:spacing w:before="450" w:after="450" w:line="312" w:lineRule="auto"/>
      </w:pPr>
      <w:r>
        <w:rPr>
          <w:rFonts w:ascii="宋体" w:hAnsi="宋体" w:eastAsia="宋体" w:cs="宋体"/>
          <w:color w:val="000"/>
          <w:sz w:val="28"/>
          <w:szCs w:val="28"/>
        </w:rPr>
        <w:t xml:space="preserve">(一)税收背离对地区实得财力的影响</w:t>
      </w:r>
    </w:p>
    <w:p>
      <w:pPr>
        <w:ind w:left="0" w:right="0" w:firstLine="560"/>
        <w:spacing w:before="450" w:after="450" w:line="312" w:lineRule="auto"/>
      </w:pPr>
      <w:r>
        <w:rPr>
          <w:rFonts w:ascii="宋体" w:hAnsi="宋体" w:eastAsia="宋体" w:cs="宋体"/>
          <w:color w:val="000"/>
          <w:sz w:val="28"/>
          <w:szCs w:val="28"/>
        </w:rPr>
        <w:t xml:space="preserve">税源与税收背离的直接结果是不同地区税务机关(含国税局和地税局)征得的税收与基于税源、税基的应征税收不一致和扭曲。而我国的中央与地方间的税收分配是以各地方税务机关征得的税收为基础,分税种按照一定标准进行划分的。也即,中央与地方间的税收收入分配是对各地税务机关征得的已经产生税收背离的税收收入的分配。税种不同,在中央与地方间分配的方式不同,对地区间财力差异的影响也不同。如若一税种完全属于中央税,如消费税、车辆购置税,税收背离则不会改变地区间财力差异。而其余的共享税、地方税,若发生税收背离,则必然会造成地区间横向税收分配不公,改变地区间的财力分配,并往往强化地区间的财力差距和非均衡。</w:t>
      </w:r>
    </w:p>
    <w:p>
      <w:pPr>
        <w:ind w:left="0" w:right="0" w:firstLine="560"/>
        <w:spacing w:before="450" w:after="450" w:line="312" w:lineRule="auto"/>
      </w:pPr>
      <w:r>
        <w:rPr>
          <w:rFonts w:ascii="宋体" w:hAnsi="宋体" w:eastAsia="宋体" w:cs="宋体"/>
          <w:color w:val="000"/>
          <w:sz w:val="28"/>
          <w:szCs w:val="28"/>
        </w:rPr>
        <w:t xml:space="preserve">(二)税收背离与地区人均财力差异</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在现行的税收征管和税收归属权分配模式下,市场经济活动的复杂性,跨区经济活动、总部经济的发展,企业生产和管理的空间分离等使区域间税收与税源背离现象普遍存在。本文对我国税收背离情况进行测算发现,税收背离造成了税收在地区间的非正常流入和流出,上海、北京、广东、天津、云南、海南等地是税收背离的主要税收净流入地,在现行的纵向和横向分税制下,这些地区获得了来自其他地区大量额外税收,是税收背离的主要受益地。河南、山东、湖南、河北、湖北、四川、江西、广西、安徽、福建、内蒙古、黑龙江、吉林等地区为税收背离的主要税收净流出地,在现行分税制下,这些地区有大量税收流失到其他地区,是税收背离的主要受损地。进一步的测算表明,税收背离加剧了地区间财力差异,消除税收背离可以有效缩小地区间的人均财力差异。由于税收背离是地区间财力差异的重要来源,因此,减轻和消除当前严重的税源与税收背离现象,是缩小地区间财力差异、实现公共服务均等化和区域经济社会协调发展的重要途径,同时也是构建公正合理的横向财政税收分权、分配制度的内在要求。解决税收背离问题,有纵向调整和横向调整两种模式。其一,纵向调整。在中央与地方纵向税收分配中,对税收流入地,提高中央税收分配比例,对税收流出地,降低中央税收分配比例,并通过中央层面财政转移,使税收背离的税收流入地税收向税收流出地转移,以矫正税收背离的影响。其二,横向调整。改变当前税收征管权与税收归属权混同的做法,在基于征管低成本、高效率的原则配置税收征管权之后,根据税源和税基所在地的空间分布,按一定比例和权重在地区间分配征得的税收;同时,设立专业、独立、权威的跨区域税收协调机构,如在国家税务总局、省税务局内分别设置国内税收协调委员会和区域税收协调办公室来分别负责跨省、省域内的跨区域税收征管和分配协调工作。无论是纵向调整模式,还是横向调整模式,或者两者结合都是解决税收背离问题的重要可选途径和方式。在缩小地区间财力差异中,相对于通常的转移支付机制,减轻或消除税收背离是通过地区间税收分配方式的拨乱反正和科学、合理回归的途径来促成的,可以改变通常转移支付方式产生的一些地区对另一些地区无偿帮助和支援的错觉和摩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2026-06-10T08:17:45+08:00</dcterms:created>
  <dcterms:modified xsi:type="dcterms:W3CDTF">2026-06-10T08:17:45+08:00</dcterms:modified>
</cp:coreProperties>
</file>

<file path=docProps/custom.xml><?xml version="1.0" encoding="utf-8"?>
<Properties xmlns="http://schemas.openxmlformats.org/officeDocument/2006/custom-properties" xmlns:vt="http://schemas.openxmlformats.org/officeDocument/2006/docPropsVTypes"/>
</file>