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观调控的制度基础与政策边界分析</w:t>
      </w:r>
      <w:bookmarkEnd w:id="1"/>
    </w:p>
    <w:p>
      <w:pPr>
        <w:jc w:val="center"/>
        <w:spacing w:before="0" w:after="450"/>
      </w:pPr>
      <w:r>
        <w:rPr>
          <w:rFonts w:ascii="Arial" w:hAnsi="Arial" w:eastAsia="Arial" w:cs="Arial"/>
          <w:color w:val="999999"/>
          <w:sz w:val="20"/>
          <w:szCs w:val="20"/>
        </w:rPr>
        <w:t xml:space="preserve">来源：网络  作者：心如止水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观调控的制度基础与政策边界分析 观调控的制度基础与政策边界分析 观调控的制度基础与政策边界分析一个解释中国宏观调控政策效应的理论框架本文认为，中国扩大内需的宏观调控政策效应不理想主要不是政策本身的原因，而是政策背后的市场基础与制度条件方面的...</w:t>
      </w:r>
    </w:p>
    <w:p>
      <w:pPr>
        <w:ind w:left="0" w:right="0" w:firstLine="560"/>
        <w:spacing w:before="450" w:after="450" w:line="312" w:lineRule="auto"/>
      </w:pPr>
      <w:r>
        <w:rPr>
          <w:rFonts w:ascii="宋体" w:hAnsi="宋体" w:eastAsia="宋体" w:cs="宋体"/>
          <w:color w:val="000"/>
          <w:sz w:val="28"/>
          <w:szCs w:val="28"/>
        </w:rPr>
        <w:t xml:space="preserve">观调控的制度基础与政策边界分析 观调控的制度基础与政策边界分析 观调控的制度基础与政策边界分析一个解释中国宏观调控政策效应的理论框架</w:t>
      </w:r>
    </w:p>
    <w:p>
      <w:pPr>
        <w:ind w:left="0" w:right="0" w:firstLine="560"/>
        <w:spacing w:before="450" w:after="450" w:line="312" w:lineRule="auto"/>
      </w:pPr>
      <w:r>
        <w:rPr>
          <w:rFonts w:ascii="宋体" w:hAnsi="宋体" w:eastAsia="宋体" w:cs="宋体"/>
          <w:color w:val="000"/>
          <w:sz w:val="28"/>
          <w:szCs w:val="28"/>
        </w:rPr>
        <w:t xml:space="preserve">本文认为，中国扩大内需的宏观调控政策效应不理想主要不是政策本身的原因，而是政策背后的市场基础与制度条件方面的问题。文章从宏观调控政策是一种典型的政府制度安排的观点出发，通过比较内生安排与外生安排的宏观调控政策的不同绩效，给出了一个解释中国宏观调控政策效应的理论框架，并在此基础上进一步通过对政策边界的明晰界定，从理论上揭示了短期的总量稳定与长期的经济增长的关系，以及如何正确地把握宏观调控政策的问题。</w:t>
      </w:r>
    </w:p>
    <w:p>
      <w:pPr>
        <w:ind w:left="0" w:right="0" w:firstLine="560"/>
        <w:spacing w:before="450" w:after="450" w:line="312" w:lineRule="auto"/>
      </w:pPr>
      <w:r>
        <w:rPr>
          <w:rFonts w:ascii="宋体" w:hAnsi="宋体" w:eastAsia="宋体" w:cs="宋体"/>
          <w:color w:val="000"/>
          <w:sz w:val="28"/>
          <w:szCs w:val="28"/>
        </w:rPr>
        <w:t xml:space="preserve">关键词 宏观调控 政府安排 制度基础 政策效应 政策边界</w:t>
      </w:r>
    </w:p>
    <w:p>
      <w:pPr>
        <w:ind w:left="0" w:right="0" w:firstLine="560"/>
        <w:spacing w:before="450" w:after="450" w:line="312" w:lineRule="auto"/>
      </w:pPr>
      <w:r>
        <w:rPr>
          <w:rFonts w:ascii="宋体" w:hAnsi="宋体" w:eastAsia="宋体" w:cs="宋体"/>
          <w:color w:val="000"/>
          <w:sz w:val="28"/>
          <w:szCs w:val="28"/>
        </w:rPr>
        <w:t xml:space="preserve">与20年来的市场化改革进程相伴随，中国的宏观调控也先后经历了总需求大于总供给背景下的抑制需求型和总需求小于总供给背景下的扩大需求型两个阶段。如果说1997年以前，面对总需求大于总供给的情形还能通过强制的行政手段、法律手段和经济手段压制总需求来实现宏观经济总量均衡的话，那么，1997年以后，面对在市场机制作用不断扩大基础上形成的总需求小于总供给的宏观总量非均衡情形，尽管政府实施了更为市场经济意义上的一系列积极的财政政策与货币政策，但三年来的宏观调控政策效应与预期结果仍相距甚远。对宏观调控政策效应的实证分析和政策的规范研究业已引发出大量的研究成果。然而，目前学术界大多数关于宏观调控的研究往往因暗含宏观调控政策能完全解决经济衰退的假定前提以及由此演绎的逻辑推论而陷入了宏观调控认识的误区。本文基于宏观调控政策也是一种制度安排的观点，依据现代宏观经济学理论，在对市场经济宏观调控政策有效性的制度基础与边界问题进行深入分析的基础上，试图构建一个解释中国宏观调控政策效应的理论框架。</w:t>
      </w:r>
    </w:p>
    <w:p>
      <w:pPr>
        <w:ind w:left="0" w:right="0" w:firstLine="560"/>
        <w:spacing w:before="450" w:after="450" w:line="312" w:lineRule="auto"/>
      </w:pPr>
      <w:r>
        <w:rPr>
          <w:rFonts w:ascii="宋体" w:hAnsi="宋体" w:eastAsia="宋体" w:cs="宋体"/>
          <w:color w:val="000"/>
          <w:sz w:val="28"/>
          <w:szCs w:val="28"/>
        </w:rPr>
        <w:t xml:space="preserve">一、作为一种制度安排的宏观调控政策：内生与外生的绩效</w:t>
      </w:r>
    </w:p>
    <w:p>
      <w:pPr>
        <w:ind w:left="0" w:right="0" w:firstLine="560"/>
        <w:spacing w:before="450" w:after="450" w:line="312" w:lineRule="auto"/>
      </w:pPr>
      <w:r>
        <w:rPr>
          <w:rFonts w:ascii="宋体" w:hAnsi="宋体" w:eastAsia="宋体" w:cs="宋体"/>
          <w:color w:val="000"/>
          <w:sz w:val="28"/>
          <w:szCs w:val="28"/>
        </w:rPr>
        <w:t xml:space="preserve">当新制度经济学家们摒弃制度是外生或中性的新古典假设从而将经济运行分析由“无摩擦”的新古典框架转向“新制度”的框架下进行时，市场被描绘成一种为降低交易成本而选择的制度安排(Coase，1937，1960；North，1981，19</w:t>
      </w:r>
    </w:p>
    <w:p>
      <w:pPr>
        <w:ind w:left="0" w:right="0" w:firstLine="560"/>
        <w:spacing w:before="450" w:after="450" w:line="312" w:lineRule="auto"/>
      </w:pPr>
      <w:r>
        <w:rPr>
          <w:rFonts w:ascii="宋体" w:hAnsi="宋体" w:eastAsia="宋体" w:cs="宋体"/>
          <w:color w:val="000"/>
          <w:sz w:val="28"/>
          <w:szCs w:val="28"/>
        </w:rPr>
        <w:t xml:space="preserve">90)。在将制度分析引入新古典的生产和交换理论并更深入地分析现实世界的制度问题中，新制度经济学家同样给出了各种非市场形式的制度安排理由，这就是，有限理性和机会主义的客观存在使对市场的使用存在成本，因而，为把有限理性的约束作用降到最小，同时保护交易免于机会主义风险的影响，经济主体必然会寻求诸如政府安排的制度(Williamson，19</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任何特定制度的安排与创新无非是特定条件下人们选择的结果，而有效的制度安排无疑是经济增长(绩效)的必要条件。正是通过对产权、交易成本、路径依赖等问题的强调，使新制度经济学得以将经济增长问题纳入制度变迁的框架中作出深刻的解释。由于制度安排的范围相当宽泛，这里，笔者并不打算涉及所有正规和非正规的制度问题，而只是运用新制度经济学的分析方法和某些术语(这些术语可能并不一定具有相同的内涵)，在阐述宏观调控政策也是一种典型的政府制度安排的基础上，就它相对市场基础而言是内生还是外生的角度来解释中国宏观调控政策的有效性问题。</w:t>
      </w:r>
    </w:p>
    <w:p>
      <w:pPr>
        <w:ind w:left="0" w:right="0" w:firstLine="560"/>
        <w:spacing w:before="450" w:after="450" w:line="312" w:lineRule="auto"/>
      </w:pPr>
      <w:r>
        <w:rPr>
          <w:rFonts w:ascii="宋体" w:hAnsi="宋体" w:eastAsia="宋体" w:cs="宋体"/>
          <w:color w:val="000"/>
          <w:sz w:val="28"/>
          <w:szCs w:val="28"/>
        </w:rPr>
        <w:t xml:space="preserve">众所周知，宏观总量是由微观个量组成，宏观经济不可能离开微观基础而存在，宏观调控也必然要依赖于现实的微观基础和制度条件。我们可以简单地从宏观调控是否具有坚实的微观基础和制度条件出发，将宏观调控区分为内生的制度安排和外生的制度安排两类。市场经济内生安排的宏观调控意指宏观经济政策具有与市场制度逻辑一致的传导条件和能对政策信号作出理性反应的市场化主体。相对而言，如果市场经济意义上的宏观经济政策是在没有或不完善的市场基础和传导条件下进行的，那么宏观调控显然就是一种外生于市场制度的安排。一般地，在有效的边界范围内生安排的效应显著，而外生安排的效应则会受到极大的限制。有基于此，我们可以给出一个分析中国宏观调控政策效应为何不理想的理论框架。</w:t>
      </w:r>
    </w:p>
    <w:p>
      <w:pPr>
        <w:ind w:left="0" w:right="0" w:firstLine="560"/>
        <w:spacing w:before="450" w:after="450" w:line="312" w:lineRule="auto"/>
      </w:pPr>
      <w:r>
        <w:rPr>
          <w:rFonts w:ascii="宋体" w:hAnsi="宋体" w:eastAsia="宋体" w:cs="宋体"/>
          <w:color w:val="000"/>
          <w:sz w:val="28"/>
          <w:szCs w:val="28"/>
        </w:rPr>
        <w:t xml:space="preserve">事实上，中国仍处于从计划经济向市场经济转轨的进程中，市场制度基础的建设取得了长足的进展但还不完善。中国以增量促存量的渐进式改革方式形成了微观基础的二元格局：一方面，改革后形成的增量部分——非国有企业——基本上是按照现代企业制度的要求建立起来的，它们具有产权明晰的特征，能对市场价格信号作出灵敏的反应，其行为由市场机制调节，是市场经济意义上的微观主体；另一方面，改革后仍然保存的存量部分——国有企业——虽然历经不断深入的改革也日益向现代企业制度转变，但其积重已久的深层问题并非短期内能得到彻底解决，无论在产权结构还是在治理结构中，国有企业都存在着明显的政企难分的特征，因而其行为具有对市场与政府的双重依赖性，是不完全市场经济意义上的微观主体。目前国内经济学界对这种二元格局的另一种流行划分法是所谓的体制内的国有企业与体制外的非国有企业。其实，这是相对计划经济体制而言的，如果相对市场经济体制而言，则体制内的就应该主要是非国有企业，而体制外的是传统的国有企业。</w:t>
      </w:r>
    </w:p>
    <w:p>
      <w:pPr>
        <w:ind w:left="0" w:right="0" w:firstLine="560"/>
        <w:spacing w:before="450" w:after="450" w:line="312" w:lineRule="auto"/>
      </w:pPr>
      <w:r>
        <w:rPr>
          <w:rFonts w:ascii="宋体" w:hAnsi="宋体" w:eastAsia="宋体" w:cs="宋体"/>
          <w:color w:val="000"/>
          <w:sz w:val="28"/>
          <w:szCs w:val="28"/>
        </w:rPr>
        <w:t xml:space="preserve">金融市场制度的局限使得中国货币政策的传导实际上更主要是通过信用机制来进行的。理论上，货币政策的信用传导机制主要有银行借贷和资产负债表两种典型的渠道。Bernankehe和 Blinder(19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8)的CC-LM模型从银行贷款供给方面揭示了前一种渠道的作用机理，Bernankehe和Gerfier(19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从货币政策态势对特定借款人资产负债状况的影响方面阐明了后一种渠道的作用机理。信用机制能否有效地发挥传导作用，其关键的问题是如何降低在信息不对称环境下存在于借贷行为过程中的逆向选择或道德风险等问题，从而使信用具有可获得性。就中国的现实而言，体制内外不同的微观主体的信用可获得性是完全不同的。市场体制内的微观主体(非国有企业)因金融市场的制度歧视被隔绝在以银行为主的金融体系之外，货币政策相对于它们是一种外生的安排，效应当然无从谈起。市场体制外的微观主体(国有企业)的反应则可从两方面来分析，一方面是，对于那些效益和资信状况均良好的主体，它们并非惟一地依赖银行借贷渠道融资，这就意味着信用传导机制所必需的银行贷款与债券不可完全替代的前提难以成立，即使这类主体不受市场的制度歧视，而且金融机构也愿意与它们发生借贷行为，但货币政策对它们的效力相当微弱；另一方面，对于那些效益和资信状况均不良的主体，由于它们存在严重的道德风险和过大的监督成本，金融机构出于自身稳健经营的要求，又往往不愿与其发生借贷行为，所以形成银行普遍的“惜贷”或“慎贷”现象，货币政策对这类主体的投资引诱也不明显(只是较大地减轻了它们的利息负担)。由此可见，中国货币政策效果不显著并不是(或主要不是)货币政策本身的原因，而是政策背后的微观基础和制度条件问题。</w:t>
      </w:r>
    </w:p>
    <w:p>
      <w:pPr>
        <w:ind w:left="0" w:right="0" w:firstLine="560"/>
        <w:spacing w:before="450" w:after="450" w:line="312" w:lineRule="auto"/>
      </w:pPr>
      <w:r>
        <w:rPr>
          <w:rFonts w:ascii="宋体" w:hAnsi="宋体" w:eastAsia="宋体" w:cs="宋体"/>
          <w:color w:val="000"/>
          <w:sz w:val="28"/>
          <w:szCs w:val="28"/>
        </w:rPr>
        <w:t xml:space="preserve">关于积极财政政策为何难以有效地拉动民间投资需求增长的原因，学术界已展开深入的探讨并提出了多种解释。其中大多数的分析都将问题的症结归咎于基础设施的产业链太短以及整个产业结构不合理方面，强调正是基础设施的产业关联性差，当把财政资金集中投向本来就已存在生产能力严重过剩的基础原材料部门，并且主要又是以政府大包大揽而不是贴息、参股和项目融资等方式投入的情况下，民间投资自然不可能参与进来，最终的结果是积极财政政策的乘数效应不大，经济启而不动。无疑，中国积极财政政策效应在现象层面表现出来的因果关系确实如此。但根本的原因却正如张曙光教授(19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9)所指出的，是政策扩张与体制收缩的矛盾。如果从财政政策是一种典型的政府制度安排的观点出发。我们可以就它与微观基础的关系对政策效应作出进一步的解释。这就是，由于财政政策与政府关系紧密的行为主体(特别是国有主体部门)具有较强的内在一致逻辑(这种较强的内在一致逻辑恰恰又是人们所担心的计划体制复归的重要表现)，积极的财政政策对这类主体的投资引诱效果相对明显；由于财政政策相对市场体制内的微观主体是一种典型的外生制度安排，积极财政政策的各种乘数效应受到体制的摩擦，因而对民间投资和居民消费需求的拉动效应不明显，亦即IS曲线移而不动。</w:t>
      </w:r>
    </w:p>
    <w:p>
      <w:pPr>
        <w:ind w:left="0" w:right="0" w:firstLine="560"/>
        <w:spacing w:before="450" w:after="450" w:line="312" w:lineRule="auto"/>
      </w:pPr>
      <w:r>
        <w:rPr>
          <w:rFonts w:ascii="宋体" w:hAnsi="宋体" w:eastAsia="宋体" w:cs="宋体"/>
          <w:color w:val="000"/>
          <w:sz w:val="28"/>
          <w:szCs w:val="28"/>
        </w:rPr>
        <w:t xml:space="preserve">上述给出的仅仅是制度基础的分析框架，它并不是宏观调控分析的全部内容。如果到此为止，则很容易使人误解为：只要宏观调控政策是内生的制度安排，就可以实现经济持续稳定的增长。其实，即使是内生安排的宏观调控政策，也并不必然意味着它能够解决所有的问题(凯恩斯主义政策70年代在“滞胀”面前的失灵就是明证)。因为，如果宏观调控作用的仅仅是宏观经济总量，就不能要求它去解决结构问题；如果宏观调控政策的本义只是一项短期的稳定政策，又岂能冀望它来实现长期的经济增长?这实际上也就涉及宏观调控政策是否存在一个有效的边界问题，内生安排的宏观调控政策效应也只有在有效的边界范围内才能得以释放出来。</w:t>
      </w:r>
    </w:p>
    <w:p>
      <w:pPr>
        <w:ind w:left="0" w:right="0" w:firstLine="560"/>
        <w:spacing w:before="450" w:after="450" w:line="312" w:lineRule="auto"/>
      </w:pPr>
      <w:r>
        <w:rPr>
          <w:rFonts w:ascii="宋体" w:hAnsi="宋体" w:eastAsia="宋体" w:cs="宋体"/>
          <w:color w:val="000"/>
          <w:sz w:val="28"/>
          <w:szCs w:val="28"/>
        </w:rPr>
        <w:t xml:space="preserve">二、宏观调控政策的期限边界：短期还是长期?</w:t>
      </w:r>
    </w:p>
    <w:p>
      <w:pPr>
        <w:ind w:left="0" w:right="0" w:firstLine="560"/>
        <w:spacing w:before="450" w:after="450" w:line="312" w:lineRule="auto"/>
      </w:pPr>
      <w:r>
        <w:rPr>
          <w:rFonts w:ascii="宋体" w:hAnsi="宋体" w:eastAsia="宋体" w:cs="宋体"/>
          <w:color w:val="000"/>
          <w:sz w:val="28"/>
          <w:szCs w:val="28"/>
        </w:rPr>
        <w:t xml:space="preserve">关于宏观调控政策的长期与短期之争，实质上也就是关于政府经济职能边界的理念之争。在西方，现代宏观经济学各流派之间对此也展开过激烈的论争，从凯恩斯主义到货币主义再到新古典宏观经济学派和新凯恩斯主义，其政策理论的核心实际上也可归结为宏观调控政策的期限边界问题。比较分析各流派不同的政策理论主张，应该会有助于我们对这一问题的理解。</w:t>
      </w:r>
    </w:p>
    <w:p>
      <w:pPr>
        <w:ind w:left="0" w:right="0" w:firstLine="560"/>
        <w:spacing w:before="450" w:after="450" w:line="312" w:lineRule="auto"/>
      </w:pPr>
      <w:r>
        <w:rPr>
          <w:rFonts w:ascii="宋体" w:hAnsi="宋体" w:eastAsia="宋体" w:cs="宋体"/>
          <w:color w:val="000"/>
          <w:sz w:val="28"/>
          <w:szCs w:val="28"/>
        </w:rPr>
        <w:t xml:space="preserve">(一)短期边界论：凯恩斯主义、货币主义及新凯恩斯主义的政策主张</w:t>
      </w:r>
    </w:p>
    <w:p>
      <w:pPr>
        <w:ind w:left="0" w:right="0" w:firstLine="560"/>
        <w:spacing w:before="450" w:after="450" w:line="312" w:lineRule="auto"/>
      </w:pPr>
      <w:r>
        <w:rPr>
          <w:rFonts w:ascii="宋体" w:hAnsi="宋体" w:eastAsia="宋体" w:cs="宋体"/>
          <w:color w:val="000"/>
          <w:sz w:val="28"/>
          <w:szCs w:val="28"/>
        </w:rPr>
        <w:t xml:space="preserve">在20世纪30年代大萧条背景下，凯恩斯从不变的价格水平可以存在不同的总产出水平及相应的就业水平的现实出发，以现实存在的货币工资刚性、价格刚性、流动性陷阱和利率在长期缺乏弹性等作为分析前提，把经济分析的重点放在宏观总体的真实变量上，指出宏观经济总量的非均衡主要是总需求波动(有效需求不足)的结果，市场力量并不能迅速有效地恢复充分就业均衡。根据总需求决定原理，凯恩斯进一步推论出，只有通过政府制定积极的财政政策和货币政策引导消费倾向和统揽投资引诱，并使两者互相配合适应，才能解决有效需求不足的问题，从而使经济在充分就业的水平上保持稳定。</w:t>
      </w:r>
    </w:p>
    <w:p>
      <w:pPr>
        <w:ind w:left="0" w:right="0" w:firstLine="560"/>
        <w:spacing w:before="450" w:after="450" w:line="312" w:lineRule="auto"/>
      </w:pPr>
      <w:r>
        <w:rPr>
          <w:rFonts w:ascii="宋体" w:hAnsi="宋体" w:eastAsia="宋体" w:cs="宋体"/>
          <w:color w:val="000"/>
          <w:sz w:val="28"/>
          <w:szCs w:val="28"/>
        </w:rPr>
        <w:t xml:space="preserve">在凯恩斯看来，针对有效需求不足的总需求管理政策是相机抉择的短期政策，因为“在长期我们都死了”。关于宏观调控政策的短期边界论，我们可用标准凯恩斯主义的AS一AD模型加以说明。在图1中，假设总需求曲线AD0与总供给曲线AS相交的A点表示经济最初处于的充分就业均衡水平(Yn)，当经济受到现实总需求的冲击，即AD0左移至AD1之后，由于现实中存在着货币工资刚性和价格刚性，必然导致厂商削减产量和就业量(从Yn减到Y</w:t>
      </w:r>
    </w:p>
    <w:p>
      <w:pPr>
        <w:ind w:left="0" w:right="0" w:firstLine="560"/>
        <w:spacing w:before="450" w:after="450" w:line="312" w:lineRule="auto"/>
      </w:pPr>
      <w:r>
        <w:rPr>
          <w:rFonts w:ascii="宋体" w:hAnsi="宋体" w:eastAsia="宋体" w:cs="宋体"/>
          <w:color w:val="000"/>
          <w:sz w:val="28"/>
          <w:szCs w:val="28"/>
        </w:rPr>
        <w:t xml:space="preserve">1)，这时，经济将在小于充分就业水平的B点实现均衡，而不可能任由价格的自由下降调整到C点的充分就业均衡水平。正是投资者不确定预期及由此形成的有效需求不足，使得AS在A点以下演变为一条具有正斜率的总供给曲线，它意味着完全依靠市场力量很难迅速有效地将Y1恢复到Yn。因此，要使经济在较短的时间内从B点回复到A点，最有效的办法是通过政府实施积极的财政政策和货币政策使AD1，移动到AD0。在有效需求不足问题解决后，AS曲线恢复到古典的垂直状态，市场价格机制继续发挥作用，此时如果继续实施积极的政策会加剧价格水平的上涨(通货膨胀)。从凯恩斯主义的AS一AD模型中不难看出，总需求管理政策的边界只限于 AS曲线具有正斜率的部分，亦即存在于有效需求不足的状态。</w:t>
      </w:r>
    </w:p>
    <w:p>
      <w:pPr>
        <w:ind w:left="0" w:right="0" w:firstLine="560"/>
        <w:spacing w:before="450" w:after="450" w:line="312" w:lineRule="auto"/>
      </w:pPr>
      <w:r>
        <w:rPr>
          <w:rFonts w:ascii="宋体" w:hAnsi="宋体" w:eastAsia="宋体" w:cs="宋体"/>
          <w:color w:val="000"/>
          <w:sz w:val="28"/>
          <w:szCs w:val="28"/>
        </w:rPr>
        <w:t xml:space="preserve">在20世纪60年代末到70年代初，正当凯恩斯主义需求管理政策在“滞胀”面前日益失灵的情况下，以弗里德曼为代表的货币主义学派提出持久收入假说和自然率假说来解释“滞胀”现象，并对凯恩斯主义的需求管理政策发难。货币主义者认为，长期菲力普斯曲线是一条起自自然失业率的垂直线，不存在失业率与通货膨胀率之间的交替关系。虽然短期内通过政府积极的财政政策可以影响产量和就业量，但就长期而言，财政政策的“挤出效应”使得财政扩张的量不过是对私人部门支出的量的替代，税收的变化也因不能影响持久收入而仅有非常微弱的乘数效应。货币政策也同样只会在短期内当人们按错误的价格预期决策时对产量和就业量产生影响，而在长期一旦错误的价格预期得到纠正，即“货币幻觉”消失之后，实际工资、产量和就业量都将复归到各自的自然率水平。因而任何通过政府相机抉择的需求管理政策试图保持较高的和稳定的产量和就业量水平的努力，最终只会导致通货膨胀的加速上升和经济的更不稳定。与重视财政政策作用的凯恩斯主义者不同，货币主义者从稳定的货币需求函数出发，坚持经济在遭遇需求冲击后仍会相当迅速地恢复到自然率的产量和就业水平附近，强调即使是短期的需求管理政策也不会使事情变得更好，因为政策制定者为了某种政治利益而操纵经济导致的政府失灵可能比市场失灵更糟。因此，为了稳定经济，应该用旨在稳定价格预期的货币规则取代相机抉择的需求管理政策。</w:t>
      </w:r>
    </w:p>
    <w:p>
      <w:pPr>
        <w:ind w:left="0" w:right="0" w:firstLine="560"/>
        <w:spacing w:before="450" w:after="450" w:line="312" w:lineRule="auto"/>
      </w:pPr>
      <w:r>
        <w:rPr>
          <w:rFonts w:ascii="宋体" w:hAnsi="宋体" w:eastAsia="宋体" w:cs="宋体"/>
          <w:color w:val="000"/>
          <w:sz w:val="28"/>
          <w:szCs w:val="28"/>
        </w:rPr>
        <w:t xml:space="preserve">(二)零边界论：新古典宏观经济学的政策主张</w:t>
      </w:r>
    </w:p>
    <w:p>
      <w:pPr>
        <w:ind w:left="0" w:right="0" w:firstLine="560"/>
        <w:spacing w:before="450" w:after="450" w:line="312" w:lineRule="auto"/>
      </w:pPr>
      <w:r>
        <w:rPr>
          <w:rFonts w:ascii="宋体" w:hAnsi="宋体" w:eastAsia="宋体" w:cs="宋体"/>
          <w:color w:val="000"/>
          <w:sz w:val="28"/>
          <w:szCs w:val="28"/>
        </w:rPr>
        <w:t xml:space="preserve">建立在理性预期、自然率假设和市场连续出清基础上的新古典宏观经济学包括以卢卡斯为代表的货币经济周期学派和以巴罗、基德兰德、普雷斯科特等为代表的实际经济周期学派。前者从需求冲击、信息不完全及闲暇(劳动)的跨期替代效应方面建立起解释经济周期波动的原因和传导机制的货币经济周期模型，认为在短期内，虽然不完全信息下发生的意料之外的货币冲击会导致经济总量的波动，但在长期中，由于人们能够根据不断获得的信息去修复错误的预期，经济将自行恢复到自然率的增长路径。基于预期到的货币冲击对经济没有实际的影响，因而旨在稳定经济的货币政策在任何时候都无效。这种货币政策零边界的推论可由图4说明。</w:t>
      </w:r>
    </w:p>
    <w:p>
      <w:pPr>
        <w:ind w:left="0" w:right="0" w:firstLine="560"/>
        <w:spacing w:before="450" w:after="450" w:line="312" w:lineRule="auto"/>
      </w:pPr>
      <w:r>
        <w:rPr>
          <w:rFonts w:ascii="宋体" w:hAnsi="宋体" w:eastAsia="宋体" w:cs="宋体"/>
          <w:color w:val="000"/>
          <w:sz w:val="28"/>
          <w:szCs w:val="28"/>
        </w:rPr>
        <w:t xml:space="preserve">在图4中，垂直的LAS曲线表明具有理性预期的经济主体行为完全由市场价格机制调节，每一条倾斜的SAS曲线则由相应的预期价格水平给出。假设现期发生了出乎意料的总需求增加(货币冲击使AD0移到AD</w:t>
      </w:r>
    </w:p>
    <w:p>
      <w:pPr>
        <w:ind w:left="0" w:right="0" w:firstLine="560"/>
        <w:spacing w:before="450" w:after="450" w:line="312" w:lineRule="auto"/>
      </w:pPr>
      <w:r>
        <w:rPr>
          <w:rFonts w:ascii="宋体" w:hAnsi="宋体" w:eastAsia="宋体" w:cs="宋体"/>
          <w:color w:val="000"/>
          <w:sz w:val="28"/>
          <w:szCs w:val="28"/>
        </w:rPr>
        <w:t xml:space="preserve">1)，则货币工资和价格水平必然会因商品和劳动市场存在超额需求而上升。此时，如果具有不完全信息的厂商(工人)误将一般物价水平(货币工资)的上升当做相对价格(实际工资)的上升并相应地增加产品(劳动)供给，那么经济将暂时“意外”地沿SAS0曲线从A点移动至B点。然而，一旦经济主体理性地认识到实际工资和相对价格并未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2026-09-17T02:08:24+08:00</dcterms:created>
  <dcterms:modified xsi:type="dcterms:W3CDTF">2026-09-17T02:08:24+08:00</dcterms:modified>
</cp:coreProperties>
</file>

<file path=docProps/custom.xml><?xml version="1.0" encoding="utf-8"?>
<Properties xmlns="http://schemas.openxmlformats.org/officeDocument/2006/custom-properties" xmlns:vt="http://schemas.openxmlformats.org/officeDocument/2006/docPropsVTypes"/>
</file>