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知识产品国际贸易的风险及防范策略</w:t>
      </w:r>
      <w:bookmarkEnd w:id="1"/>
    </w:p>
    <w:p>
      <w:pPr>
        <w:jc w:val="center"/>
        <w:spacing w:before="0" w:after="450"/>
      </w:pPr>
      <w:r>
        <w:rPr>
          <w:rFonts w:ascii="Arial" w:hAnsi="Arial" w:eastAsia="Arial" w:cs="Arial"/>
          <w:color w:val="999999"/>
          <w:sz w:val="20"/>
          <w:szCs w:val="20"/>
        </w:rPr>
        <w:t xml:space="preserve">来源：网络  作者：青灯古佛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摘要：知识产品的国际贸易存在着基于货币市场波动而引发的汇率风险、基于主权国家金融制度差异而引发的政策风险、基于信用资金偿还机制差异而引发的贷款风险、因各国契约理念不同而引发的合同风险、基于知识隐形贬值而引发的价格风险。防范知识产品国际贸易的...</w:t>
      </w:r>
    </w:p>
    <w:p>
      <w:pPr>
        <w:ind w:left="0" w:right="0" w:firstLine="560"/>
        <w:spacing w:before="450" w:after="450" w:line="312" w:lineRule="auto"/>
      </w:pPr>
      <w:r>
        <w:rPr>
          <w:rFonts w:ascii="宋体" w:hAnsi="宋体" w:eastAsia="宋体" w:cs="宋体"/>
          <w:color w:val="000"/>
          <w:sz w:val="28"/>
          <w:szCs w:val="28"/>
        </w:rPr>
        <w:t xml:space="preserve">摘要：知识产品的国际贸易存在着基于货币市场波动而引发的汇率风险、基于主权国家金融制度差异而引发的政策风险、基于信用资金偿还机制差异而引发的贷款风险、因各国契约理念不同而引发的合同风险、基于知识隐形贬值而引发的价格风险。防范知识产品国际贸易的风险，应强化对知识产品国际贸易市场的调研工作；认真研究贸易国的政治、经济及法治状况，牢牢把握贸易国的政策特征和价值偏好；选择正确的计价货币，有效规避汇率风险。</w:t>
      </w:r>
    </w:p>
    <w:p>
      <w:pPr>
        <w:ind w:left="0" w:right="0" w:firstLine="560"/>
        <w:spacing w:before="450" w:after="450" w:line="312" w:lineRule="auto"/>
      </w:pPr>
      <w:r>
        <w:rPr>
          <w:rFonts w:ascii="宋体" w:hAnsi="宋体" w:eastAsia="宋体" w:cs="宋体"/>
          <w:color w:val="000"/>
          <w:sz w:val="28"/>
          <w:szCs w:val="28"/>
        </w:rPr>
        <w:t xml:space="preserve">关键词：知识产品；金融制度；国际贸易；风险；防范策略</w:t>
      </w:r>
    </w:p>
    <w:p>
      <w:pPr>
        <w:ind w:left="0" w:right="0" w:firstLine="560"/>
        <w:spacing w:before="450" w:after="450" w:line="312" w:lineRule="auto"/>
      </w:pPr>
      <w:r>
        <w:rPr>
          <w:rFonts w:ascii="宋体" w:hAnsi="宋体" w:eastAsia="宋体" w:cs="宋体"/>
          <w:color w:val="000"/>
          <w:sz w:val="28"/>
          <w:szCs w:val="28"/>
        </w:rPr>
        <w:t xml:space="preserve">中图分类号：F74617</w:t>
      </w:r>
    </w:p>
    <w:p>
      <w:pPr>
        <w:ind w:left="0" w:right="0" w:firstLine="560"/>
        <w:spacing w:before="450" w:after="450" w:line="312" w:lineRule="auto"/>
      </w:pPr>
      <w:r>
        <w:rPr>
          <w:rFonts w:ascii="宋体" w:hAnsi="宋体" w:eastAsia="宋体" w:cs="宋体"/>
          <w:color w:val="000"/>
          <w:sz w:val="28"/>
          <w:szCs w:val="28"/>
        </w:rPr>
        <w:t xml:space="preserve">文献标志码：A</w:t>
      </w:r>
    </w:p>
    <w:p>
      <w:pPr>
        <w:ind w:left="0" w:right="0" w:firstLine="560"/>
        <w:spacing w:before="450" w:after="450" w:line="312" w:lineRule="auto"/>
      </w:pPr>
      <w:r>
        <w:rPr>
          <w:rFonts w:ascii="宋体" w:hAnsi="宋体" w:eastAsia="宋体" w:cs="宋体"/>
          <w:color w:val="000"/>
          <w:sz w:val="28"/>
          <w:szCs w:val="28"/>
        </w:rPr>
        <w:t xml:space="preserve">文章编号：1002-7408（2025）08-0089-03</w:t>
      </w:r>
    </w:p>
    <w:p>
      <w:pPr>
        <w:ind w:left="0" w:right="0" w:firstLine="560"/>
        <w:spacing w:before="450" w:after="450" w:line="312" w:lineRule="auto"/>
      </w:pPr>
      <w:r>
        <w:rPr>
          <w:rFonts w:ascii="宋体" w:hAnsi="宋体" w:eastAsia="宋体" w:cs="宋体"/>
          <w:color w:val="000"/>
          <w:sz w:val="28"/>
          <w:szCs w:val="28"/>
        </w:rPr>
        <w:t xml:space="preserve">作者简介：师超（1982-），女，吉林松原人，长春财经学院国际经济贸易学院讲师，硕士，主要研究国际经济贸易政策和国际经济法；党杨（1982-），女，黑龙江鹤岗人，长春财经学院经济学院讲师，副院长，经济研究所副所长，博士，主要研究西方经济理论和区域经济学。</w:t>
      </w:r>
    </w:p>
    <w:p>
      <w:pPr>
        <w:ind w:left="0" w:right="0" w:firstLine="560"/>
        <w:spacing w:before="450" w:after="450" w:line="312" w:lineRule="auto"/>
      </w:pPr>
      <w:r>
        <w:rPr>
          <w:rFonts w:ascii="宋体" w:hAnsi="宋体" w:eastAsia="宋体" w:cs="宋体"/>
          <w:color w:val="000"/>
          <w:sz w:val="28"/>
          <w:szCs w:val="28"/>
        </w:rPr>
        <w:t xml:space="preserve">知识产品是人类在改造自然和社会的实践中，依靠知识、智力等要素所创造出来的自然科学和社会科学成果的总和。它包括影视传媒作品、期刊出版物、企业信誉、商标、专利、计算机软件及商业秘密等。本文拟在分析知识产品国际贸易诸多风险形成原因、表现形态的基础上，提出防范知识产品国际贸易风险的基本策略。</w:t>
      </w:r>
    </w:p>
    <w:p>
      <w:pPr>
        <w:ind w:left="0" w:right="0" w:firstLine="560"/>
        <w:spacing w:before="450" w:after="450" w:line="312" w:lineRule="auto"/>
      </w:pPr>
      <w:r>
        <w:rPr>
          <w:rFonts w:ascii="宋体" w:hAnsi="宋体" w:eastAsia="宋体" w:cs="宋体"/>
          <w:color w:val="000"/>
          <w:sz w:val="28"/>
          <w:szCs w:val="28"/>
        </w:rPr>
        <w:t xml:space="preserve">一、知识产品国际贸易风险的成因分析</w:t>
      </w:r>
    </w:p>
    <w:p>
      <w:pPr>
        <w:ind w:left="0" w:right="0" w:firstLine="560"/>
        <w:spacing w:before="450" w:after="450" w:line="312" w:lineRule="auto"/>
      </w:pPr>
      <w:r>
        <w:rPr>
          <w:rFonts w:ascii="宋体" w:hAnsi="宋体" w:eastAsia="宋体" w:cs="宋体"/>
          <w:color w:val="000"/>
          <w:sz w:val="28"/>
          <w:szCs w:val="28"/>
        </w:rPr>
        <w:t xml:space="preserve">根据知识贸易学的基本规律，贸易必然导致风险，知识产品的国际贸易必然导致基于特殊传播机制的知识溢出性风险。具体讲，导致各种知识产品国际贸易风险的主要因素有以下几个方面。</w:t>
      </w:r>
    </w:p>
    <w:p>
      <w:pPr>
        <w:ind w:left="0" w:right="0" w:firstLine="560"/>
        <w:spacing w:before="450" w:after="450" w:line="312" w:lineRule="auto"/>
      </w:pPr>
      <w:r>
        <w:rPr>
          <w:rFonts w:ascii="宋体" w:hAnsi="宋体" w:eastAsia="宋体" w:cs="宋体"/>
          <w:color w:val="000"/>
          <w:sz w:val="28"/>
          <w:szCs w:val="28"/>
        </w:rPr>
        <w:t xml:space="preserve">1知识的潜在利益性是知识产品国际贸易风险形成的经济原动力。“知识能够带来效益”已经成为我们这个时代最为通俗的主流话语。全世界各种各样的教育机构无一不是为了传播知识而设立的思想接合中介，这些学校或研究机构为知识需求者和知识拥有者之间架起了沟通和联系的纽带，为人类知识的传承做出了积极的贡献。正如美国著名知识经济学家约翰・汤姆斯所说，一种知识，如果不能给人的类存在提供基本的生活保障，哪怕是带来潜在的物质性收益，那么这种知识的传播能力将会大打折扣。联系今天中国各级教育的经济导向性，我们也会明确感受到知识产品的经济驱动力。事实上，知识产品的跨国流动并不是政府和商人人为促动的，在较为严格的知识动力学意义上，知识产品的潜在或现实的利益本性是知识产品国际贸易风险形成的经济原动力。那些冒着投资风险进行跨境交易的商人只是达成知识产品国际交易的后发助力而已，他们所获得的基于当期汇率所表现出的货币价值，只是隐含在知识产品中的劳动凝结在获得新的使用价值之后的利润让渡，也可以说是对知识产品特殊有用性进行全球转移的货币奖励。</w:t>
      </w:r>
    </w:p>
    <w:p>
      <w:pPr>
        <w:ind w:left="0" w:right="0" w:firstLine="560"/>
        <w:spacing w:before="450" w:after="450" w:line="312" w:lineRule="auto"/>
      </w:pPr>
      <w:r>
        <w:rPr>
          <w:rFonts w:ascii="宋体" w:hAnsi="宋体" w:eastAsia="宋体" w:cs="宋体"/>
          <w:color w:val="000"/>
          <w:sz w:val="28"/>
          <w:szCs w:val="28"/>
        </w:rPr>
        <w:t xml:space="preserve">2知识的政治价值性是知识产品国际贸易风险形成的政治源动力。自阶级社会和私有制度出现以来，人类始终面临三大选择：一是人类自身生产和再生产的政治制约性选择；二是为了维持生存所必然遇到的政治生活干扰性选择；三是治者以各种方式向社会传递的主导性存在价值选择。在上述选择的关键路口，政治治理者都会以各种各样的意识形态来强化对被治理者的威权性存在。假定意识形态是一种知识产品的话，那么我们可以断定统领整个社会精神和思想走向的核心价值系统是促使知识产品国际流动的终极解释力。政治家经营国家的重要目的并不仅仅是为了获得基于权力的法定收益，在宏观国际关系学上，把一国生活方式、思维方式，甚至意识形态推向他国才是政治产品国际化的最高境界。正如有学者所指出的，美国在推动经济全球化的过程中，从来没有打着“意识形态民主化”输出的口号，但美国在国外经营企业的目的之一就是为美国的全球政治战略服务。正如斯宾塞、李嘉图、威廉・配第、凯恩斯和萨缪尔森的一致看法：几乎没有一种经济活动是可以脱离开政治权力的约束而自在发展的，即使是在古代社会也是如此。我们要杜绝“国际贸易泛政治化”的倾向，但我们更要看到国际贸易的政治风险。就知识产品跨境流动的权力驱动力来说，知识的政治价值性是知识产品国际贸易风险形成的政治源动力。换一句话来说，正是无所不在的政治权力酿生了国际贸易诸多的摩擦和矛盾。</w:t>
      </w:r>
    </w:p>
    <w:p>
      <w:pPr>
        <w:ind w:left="0" w:right="0" w:firstLine="560"/>
        <w:spacing w:before="450" w:after="450" w:line="312" w:lineRule="auto"/>
      </w:pPr>
      <w:r>
        <w:rPr>
          <w:rFonts w:ascii="宋体" w:hAnsi="宋体" w:eastAsia="宋体" w:cs="宋体"/>
          <w:color w:val="000"/>
          <w:sz w:val="28"/>
          <w:szCs w:val="28"/>
        </w:rPr>
        <w:t xml:space="preserve">3知识的文化娱乐性是知识产品国际贸易风险形成的文化肇因。文化形式最初是高于政治和经济形态的，因为一种完全拘泥于生活的艺术是不可能带给观众艺术化视觉效果的。在全球知识产品频繁流动的今天，广播电影电视、杂志期刊出版、广告视觉传媒、数据电子电脑都以其特有的文化娱乐性滋生了各种潜在和实际的政治风险和经济风险。如果把这些产品的国际交易风险都归结为中间人（商人、政府或者民间组织），那是不科学的，因为无论是参与贸易的企业，还是政府许可证的管理，抑或是民间的中介机构都希望获得物质性的收益。这些参与者的行为都是合情合理合法的，那究竟是什么原因导致了形形色色的交易风险呢？事实上，知识的文化娱乐性是导致知识产品国际贸易风险形成的文化驱动力。娱乐是文化的，但娱乐也是要走向国际化的。当一种知识产品不能带给人愉悦的心情和畅快淋漓的感性体验的时候，它就会被很快抛弃，更谈不上什么跨国交换了。</w:t>
      </w:r>
    </w:p>
    <w:p>
      <w:pPr>
        <w:ind w:left="0" w:right="0" w:firstLine="560"/>
        <w:spacing w:before="450" w:after="450" w:line="312" w:lineRule="auto"/>
      </w:pPr>
      <w:r>
        <w:rPr>
          <w:rFonts w:ascii="宋体" w:hAnsi="宋体" w:eastAsia="宋体" w:cs="宋体"/>
          <w:color w:val="000"/>
          <w:sz w:val="28"/>
          <w:szCs w:val="28"/>
        </w:rPr>
        <w:t xml:space="preserve">二、知识产品国际贸易风险的表现形态</w:t>
      </w:r>
    </w:p>
    <w:p>
      <w:pPr>
        <w:ind w:left="0" w:right="0" w:firstLine="560"/>
        <w:spacing w:before="450" w:after="450" w:line="312" w:lineRule="auto"/>
      </w:pPr>
      <w:r>
        <w:rPr>
          <w:rFonts w:ascii="宋体" w:hAnsi="宋体" w:eastAsia="宋体" w:cs="宋体"/>
          <w:color w:val="000"/>
          <w:sz w:val="28"/>
          <w:szCs w:val="28"/>
        </w:rPr>
        <w:t xml:space="preserve">知识产品的国际贸易隐含着基于货币市场波动而引发的汇率风险、基于主权国家金融制度差异而引发的政策风险、基于信用资金偿还机制差异而引发的贷款风险、因各国契约理念不同而引发的合同风险、基于知识隐形贬值而引发的价格风险等问题。当然由于知识产品时空传播方式的差异性，使得知识产品国际贸易的风险呈现出许多独有的特征。</w:t>
      </w:r>
    </w:p>
    <w:p>
      <w:pPr>
        <w:ind w:left="0" w:right="0" w:firstLine="560"/>
        <w:spacing w:before="450" w:after="450" w:line="312" w:lineRule="auto"/>
      </w:pPr>
      <w:r>
        <w:rPr>
          <w:rFonts w:ascii="宋体" w:hAnsi="宋体" w:eastAsia="宋体" w:cs="宋体"/>
          <w:color w:val="000"/>
          <w:sz w:val="28"/>
          <w:szCs w:val="28"/>
        </w:rPr>
        <w:t xml:space="preserve">1汇率风险。不论美元债务扩张在多大程度上造成了持有美元的国家和个人货币购买力的潜在损失，美元仍然是当今世界最为通行的国际结算方式。新西兰学者Michael・ Wang 和 Jack・yang曾探讨过建立以弹性金本位为核心的二元货币体系的构想，指出这种双规货币制度是使储蓄存款长期保持原有购买力的重要保障，是缩小贫富差距的基础性解决方案，是国际货币体系改革的重大战略选择。但这种国际金融改革方案只是存在于理论探讨的阶段，并没有得到大多数英联邦国家的研究和支持，也就是说，世界上绝大多数国家都默认美元的结算方便功能，同时也认可了以美元为国际货币结算单位所产生的汇率风险。同股票、基金、期货、债券市场一样，国际货币市场的交易同样遵循等价交换原则和供需法则；同虚拟资本的交易法则一样，全球知识产品的交易同样受货币汇率波动的影响。当许多人大量购入美元而兑换人民币的时候，伴随着美元贬值的不仅是持有美元国家购买力的下降，这一行为同样也提高了人民币的国际影响力，并事实上给跨国知识产品贸易商以远期盈利的机会。比如，中日韩三国的电影市场就曾经因为汇率的波动给韩国公司和中国国际影视公司造成了巨大的财产损失。 2政策风险。世界各国都对他国的知识输入持谨慎和理性的态度。比如欧洲就对中国出版的人文社科类书籍征收较高的关税，美国对中国出版物的输入控制更是非常严格，除了有反倾销审查之外，还增加了意识形态审查和宗教审查。对于那些与美利坚基督信仰明显相悖的出版物一律排除在外，不准任何出版商以任何名义带进美国。事实上，中国自然科学成果输入美国国会图书馆并成为ISTP和EI检索的比例要远远高于社科类成果的检索比率。除去中美两国版权制度和版税扣除机制的不同之外，在知识产品的中美贸易方面，两国的政策差异也是非常明显的。那些名为保护贸易自由的法律政策，实际上成为国际贸易组织成员国跨境交易的巨大壁垒，最终酿生了各种各样的知识产品贸易风险。</w:t>
      </w:r>
    </w:p>
    <w:p>
      <w:pPr>
        <w:ind w:left="0" w:right="0" w:firstLine="560"/>
        <w:spacing w:before="450" w:after="450" w:line="312" w:lineRule="auto"/>
      </w:pPr>
      <w:r>
        <w:rPr>
          <w:rFonts w:ascii="宋体" w:hAnsi="宋体" w:eastAsia="宋体" w:cs="宋体"/>
          <w:color w:val="000"/>
          <w:sz w:val="28"/>
          <w:szCs w:val="28"/>
        </w:rPr>
        <w:t xml:space="preserve">3贷款风险。知识产品的国内生产企业为了打开国际市场，往往在国内法的框架内通过股市、基金、期货、债券，甚至变相民间融资的形式获取大量资金，这些资金的偿还有的有明确期限，有的则是非法融资的。在民间高利贷和地下钱庄的支持下，各种影音公司和出版公司，尤其是那些微电影企业，在短时间内就筹集到了知识生产的全部资金。但问题在于，如果这些知识产品没有获得实体企业的青睐，没有获得国际销售的利润，那么开发商和运营商以及中介公司都会面临巨大的偿贷压力；当这一贸易链条上的任何一家企业因道德或法律纠纷而“撂跤子”时，正零和博弈就会迅速变成“囚徒困境”。这时就会出现到处都是催债的经理人、而到处可见的都是没钱的老板或经理的艰难局面。由是，风险愈演愈烈。当然也会出现一些不能正视自己国家贸易地位和能力，盲目举债、到处申请外汇贷款的现象，这同样造成了一些债权国贷款无法偿还的风险。</w:t>
      </w:r>
    </w:p>
    <w:p>
      <w:pPr>
        <w:ind w:left="0" w:right="0" w:firstLine="560"/>
        <w:spacing w:before="450" w:after="450" w:line="312" w:lineRule="auto"/>
      </w:pPr>
      <w:r>
        <w:rPr>
          <w:rFonts w:ascii="宋体" w:hAnsi="宋体" w:eastAsia="宋体" w:cs="宋体"/>
          <w:color w:val="000"/>
          <w:sz w:val="28"/>
          <w:szCs w:val="28"/>
        </w:rPr>
        <w:t xml:space="preserve">4合同风险。熟悉国际贸易规则的人都知道，国际贸易合同只是约束贸易双方的纸质文件，在跨国贸易中如果一方不守信用，单方面违约，追责的难度是非常巨大的。可以这样说，因一方单方面违约而造成损失的偿还可能是微乎其微的。而且合同的中外文表述往往存在着实质性条款的歧义性解释、合同的使用范围往往存在着国内法和国际法的冲突，有些知识产品运营商又没有国际商务合作的经验，当进口商不能按期履约时，风险就会非常巨大。</w:t>
      </w:r>
    </w:p>
    <w:p>
      <w:pPr>
        <w:ind w:left="0" w:right="0" w:firstLine="560"/>
        <w:spacing w:before="450" w:after="450" w:line="312" w:lineRule="auto"/>
      </w:pPr>
      <w:r>
        <w:rPr>
          <w:rFonts w:ascii="宋体" w:hAnsi="宋体" w:eastAsia="宋体" w:cs="宋体"/>
          <w:color w:val="000"/>
          <w:sz w:val="28"/>
          <w:szCs w:val="28"/>
        </w:rPr>
        <w:t xml:space="preserve">5价格风险。在商品交换领域，价格的波动是供需关系的晴雨表。在国际贸易领域，商品价格的国内波动是极为正常的事情。就光盘、出版物、影视作品、文学读物等知识产品的跨境流动而言，价格的随行就市是极为普遍的事情。但问题在于，当已经按照合同价格预期交割的知识产品因国内需求的增大而大幅涨价的时候，对于贸易商来说，是撕毁合同直接向国内卖出这些产品，还是按照诚实守信的原则按期交货呢？正常来说应该是按期交货，但市场经济的内在逻辑一再告诉我们，在纷繁复杂的国际市场上，没有永远的朋友，只有永恒的利益。在追求利益最大化原则的支配下，大多数商人都会倾向于毁掉合同赚取超额利润。这时市场伦理就会让位于功利哲学，巨大风险就会从天而降。</w:t>
      </w:r>
    </w:p>
    <w:p>
      <w:pPr>
        <w:ind w:left="0" w:right="0" w:firstLine="560"/>
        <w:spacing w:before="450" w:after="450" w:line="312" w:lineRule="auto"/>
      </w:pPr>
      <w:r>
        <w:rPr>
          <w:rFonts w:ascii="宋体" w:hAnsi="宋体" w:eastAsia="宋体" w:cs="宋体"/>
          <w:color w:val="000"/>
          <w:sz w:val="28"/>
          <w:szCs w:val="28"/>
        </w:rPr>
        <w:t xml:space="preserve">三、知识产品国际贸易风险的防范策略</w:t>
      </w:r>
    </w:p>
    <w:p>
      <w:pPr>
        <w:ind w:left="0" w:right="0" w:firstLine="560"/>
        <w:spacing w:before="450" w:after="450" w:line="312" w:lineRule="auto"/>
      </w:pPr>
      <w:r>
        <w:rPr>
          <w:rFonts w:ascii="宋体" w:hAnsi="宋体" w:eastAsia="宋体" w:cs="宋体"/>
          <w:color w:val="000"/>
          <w:sz w:val="28"/>
          <w:szCs w:val="28"/>
        </w:rPr>
        <w:t xml:space="preserve">近年来，受全球金融危机的影响，中外贸易不平衡问题正在逐渐加剧、知识产品贸易中的违法违规现象更是层出不穷、盗版现象极为普遍、学术论文文学作品的跨国抄袭现象愈演愈烈、各种文化产品国际合作的贸易摩擦不断增加、不当竞争此起彼伏。靠什么来约束知识产品市场的国际贸易呢？本研究认为，应该从以下几个方面着手：</w:t>
      </w:r>
    </w:p>
    <w:p>
      <w:pPr>
        <w:ind w:left="0" w:right="0" w:firstLine="560"/>
        <w:spacing w:before="450" w:after="450" w:line="312" w:lineRule="auto"/>
      </w:pPr>
      <w:r>
        <w:rPr>
          <w:rFonts w:ascii="宋体" w:hAnsi="宋体" w:eastAsia="宋体" w:cs="宋体"/>
          <w:color w:val="000"/>
          <w:sz w:val="28"/>
          <w:szCs w:val="28"/>
        </w:rPr>
        <w:t xml:space="preserve">1强化知识产品国际贸易市场的调研工作。根据需求偏好理论，地域上相邻或相近国家的贸易依存度要高于空间上较远地区和国家的贸易依存度。作为亚洲面积最大的发展中国家，中国知识产品出口的主要对象是东亚地区和东南亚国家。就东亚来说，中国知识产品出口的主要对象是韩国，其次是台湾地区、香港地区、日本、①澳门地区和朝鲜。据文化部和商业部的联合调查，从2025年到2025年底，中韩知识产品的贸易总额达到了15989亿美元，其中进口额达到10575亿美元，逆差趋势明显。②就东南亚来说，中国知识产品输出的主要地区集中在新加坡、马来西亚、泰国、越南和印度尼西亚等国家，其中中新和中马贸易额占到了贸易总额的79%，表明中国的知识产品在东南亚地区已经形成了广泛影响。值得一提的是，尽管缅甸、印度、哈萨克斯坦、蒙古、俄罗斯、尼泊尔与中国有着良好的地缘合作关系，但中国与这些国家的知识产品贸易额很小。近年来，伴随着远洋运输条件的改善和全球通信技术的发展，中国和美国、欧洲、南美洲、非洲的知识产品双边贸易在逐渐扩大，据中国广播电视出版总局的统计数据，近10年来中美之间的知识产品贸易额已经达到120098亿美元，中国和欧盟之间已经达到62156美元，中国和南美洲的知识产品贸易额达到了37亿美元，中非知识产品贸易额达到了98亿美元。综合以上的分析，我们认为中国今后应继续加大与地缘国家和地区的知识产品贸易，要依据准确的贸易数据制定合理的出口战略和进口措施。要根据欧洲国家偏好中国物美价廉文化产品的需求事实，制定中国知识产品出口欧洲的详细计划；要把中国的陶瓷制品、丝绸制品、柳编制品、服装产品、小饰品添加上强烈的文化信息，把中华文明的博大精深和和谐大同思想输出国外，使知识产品供应商能够在赚取国际分工效益的同时，为中华民族的伟大复兴做出贡献；对于某些携带考古信息的古董和文物，我们也要本着协商的原则，尽量回购流失到国外的珍贵宝物；对于非法走私文物的现象和行为要大力查处、毫不手软。没有调查就没有发言权，细致缜密的事前调研是知识产品国际贸易决策的重要前提，这方面经验是丰富的，教训也是极为深刻的。</w:t>
      </w:r>
    </w:p>
    <w:p>
      <w:pPr>
        <w:ind w:left="0" w:right="0" w:firstLine="560"/>
        <w:spacing w:before="450" w:after="450" w:line="312" w:lineRule="auto"/>
      </w:pPr>
      <w:r>
        <w:rPr>
          <w:rFonts w:ascii="宋体" w:hAnsi="宋体" w:eastAsia="宋体" w:cs="宋体"/>
          <w:color w:val="000"/>
          <w:sz w:val="28"/>
          <w:szCs w:val="28"/>
        </w:rPr>
        <w:t xml:space="preserve">2认真研究贸易国的政治、经济及法治状况，牢牢把握贸易国的政策特征和价值偏好。作为全球经济发展前景最为广阔的地区，中国的文化产业虽然起步较晚，但却拥有极为广阔的需求市场，并吸引了大批的国际资本涌入中国出版业、广告业乃至各种文体娱乐行业。在我国城乡居民收入水平有显著提高的情况下，国内文化消费需求空间很大。作为中国知识产品贸易的主要输出国，美国、韩国、日本、菲律宾等国的政治运作特点、经济发展走向、政策偏好性和价值评估体系都是各国知识产品贸易商必须密切关注的重要信息。一般来讲，如果一个国家采取紧缩性货币政策或消极财政政策时，这将有利于出口，不利于进口；反之，则有利于进口，不利于出口。对于知识产品贸易商来说，只有认真研究了贸易伙伴国的政策变化动态并随时关注国际社会的风吹草动，才有可能在竞争激烈的国际市场上获取客观的比较收益，否则，巨大的贸易风险将不期而至。就欧洲和美国来说，中国的电影电视产业要想打入这些国家的主流音像市场是很难的，这不仅是因为中国商人经济实力有限，更是由于这些国家对中国意识形态和政治信仰的质疑和困惑。由此，中国在输出知识产品的时候要尽量寻找那些极富传统感染力的文化产品，避开那些带有单一政治教化色彩的知识产品；中国输入到欧洲和美洲的知识产品要尽量体现出对那些国家制度和宗教的尊重，避免因为意识形态问题而引起不必要的麻烦。对于非洲国家来说，我们的核心目的是输出出版业和传媒业的文化产品，把古老的东方儒学文化传播到遥远的非洲部族。</w:t>
      </w:r>
    </w:p>
    <w:p>
      <w:pPr>
        <w:ind w:left="0" w:right="0" w:firstLine="560"/>
        <w:spacing w:before="450" w:after="450" w:line="312" w:lineRule="auto"/>
      </w:pPr>
      <w:r>
        <w:rPr>
          <w:rFonts w:ascii="宋体" w:hAnsi="宋体" w:eastAsia="宋体" w:cs="宋体"/>
          <w:color w:val="000"/>
          <w:sz w:val="28"/>
          <w:szCs w:val="28"/>
        </w:rPr>
        <w:t xml:space="preserve">3选择正确的计价货币，有效规避汇率风险。出于国内货币市场特殊性的考量，中国政府对外汇交易实行的是金融管制政策。近年来，虽然社会各界都在大力提倡建立外汇保险政策和存款保险政策，但由于汇率和利率波动的不可预期性，均未能实施。外汇管制政策可以最大限度的保证本币的运行安全，并规避全球金融市场危机，但也会造成外汇市场的流动性呆滞，造成进出口贸易商的双边贸易风险。我国企业要想在国际贸易中有效防范货币汇率波动带来的风险，就应该正确选择计价货币。一般来讲，出口的时候要以硬币作价、进口的时候要以软币计价。如果迫不得已在出口的时候采用了软币计价，就要相应提高作价；在进口时采用了硬币计价，则要相应调低作价。如果选用的计价货币汇率波动幅度较大，还应该通过以汇率区确定价格的方式在合同中列入价格调整条款以更好地维护双方的权益。</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①中日知识产品的双边贸易受制于两国的历史纠葛和主权争论，近年来的知识产品贸易额正大幅下滑。至2025年底，双边知识产品的贸易总额为120亿美元，进出口基本持平。</w:t>
      </w:r>
    </w:p>
    <w:p>
      <w:pPr>
        <w:ind w:left="0" w:right="0" w:firstLine="560"/>
        <w:spacing w:before="450" w:after="450" w:line="312" w:lineRule="auto"/>
      </w:pPr>
      <w:r>
        <w:rPr>
          <w:rFonts w:ascii="宋体" w:hAnsi="宋体" w:eastAsia="宋体" w:cs="宋体"/>
          <w:color w:val="000"/>
          <w:sz w:val="28"/>
          <w:szCs w:val="28"/>
        </w:rPr>
        <w:t xml:space="preserve">②根据Krugman，Fujta，Venables新经济地理学的基本观点，结合纳什均衡的一般阐释，我们可以断定：经济活动的空间分布规律与国家经济增长之间存在着某种正相关关系。由于具有相似的文化历史背景，韩国人对学习中国文化有一种明显的偏好，并且直接体现在对中国文化类产品的贸易数值上。但与韩国人相比，中国人对韩国电影、电视剧和化妆、美容、整形等知识产品的青睐程度远远高于他们对中国知识产品的研究兴趣。由此决定了中韩知识产品贸易的巨大逆差。</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[1]李婧.加强宏观金融调控 规避国际贸易风险[J].中国证券期货，2025，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[2]刘鹤.浅谈国际贸易中的市场风险与防范[J].时代金融， 2025，</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[3]王耀宁，张强.国际贸易风险规避策略探讨[J].中国高新技术企业， 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[4]孔庆峰，孙旭蕾.我国贸易条件下降的原因及对策分析[J].国际贸易问题，2025，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2026-08-01T14:01:18+08:00</dcterms:created>
  <dcterms:modified xsi:type="dcterms:W3CDTF">2026-08-01T14:01:18+08:00</dcterms:modified>
</cp:coreProperties>
</file>

<file path=docProps/custom.xml><?xml version="1.0" encoding="utf-8"?>
<Properties xmlns="http://schemas.openxmlformats.org/officeDocument/2006/custom-properties" xmlns:vt="http://schemas.openxmlformats.org/officeDocument/2006/docPropsVTypes"/>
</file>