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最新建筑安全生产管理制度论文(10篇)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一第一条为加强建筑安全生产管理，保护人民生命财产安全，根据《中华人民共和国建筑法》、《建设工程质量管理条例》等有关法律、法规，结合本省实际，制定本规定。第二条凡在本省行政区域内从事建筑工程的新建、扩建、改建、拆除和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建筑安全生产管理制度论文一</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建筑安全生产管理制度论文二</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建筑安全生产管理制度论文三</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建筑安全生产管理制度论文六</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建筑安全生产管理制度论文七</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建筑安全生产管理制度论文八</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建筑安全生产管理制度论文九</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建筑安全生产管理制度论文篇十</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