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作者：星月相依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w:t>
      </w:r>
    </w:p>
    <w:p>
      <w:pPr>
        <w:ind w:left="0" w:right="0" w:firstLine="560"/>
        <w:spacing w:before="450" w:after="450" w:line="312" w:lineRule="auto"/>
      </w:pPr>
      <w:r>
        <w:rPr>
          <w:rFonts w:ascii="宋体" w:hAnsi="宋体" w:eastAsia="宋体" w:cs="宋体"/>
          <w:color w:val="000"/>
          <w:sz w:val="28"/>
          <w:szCs w:val="28"/>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一是重视组织机构与财政干部队伍的建设。各级财政部门在机构改革中，要重视机构上下对口、企业管理职能统一和干部队伍建设问题。二是重视理论探索和调查研究。因为没有理论探索或没有调查研究是难以制定符合客观经济规律的有指导意义的企业国有资产与财务管理制度的。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四是重视研究制定国有资产经营预算制度。编制国有资本金预算，能够全面反映国有资产经营收支状况，是市场经济条件下实现所有者职能、确保出资人到位基本手段。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六是重视研究制定解决企业重组改制剥离办法中社会职能问题和分流安置问题的财政政策、财务制度和办法。如对被剥离企业、改制存续企业如何补贴及其补贴标准、时限和资金来源如何确定问题、职工的买断工龄问题。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7.要正确处理企业国有资产与财务的财政统一管理工作与财政间接调控经济的关系。社会主义财政的基本职能之一就是宏观调控。从建立公共财政的发展趋势来看，企业国有资产与财务的财政统一管理工\" 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