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新企业所得税法之间的差异分析及其协调</w:t>
      </w:r>
      <w:bookmarkEnd w:id="1"/>
    </w:p>
    <w:p>
      <w:pPr>
        <w:jc w:val="center"/>
        <w:spacing w:before="0" w:after="450"/>
      </w:pPr>
      <w:r>
        <w:rPr>
          <w:rFonts w:ascii="Arial" w:hAnsi="Arial" w:eastAsia="Arial" w:cs="Arial"/>
          <w:color w:val="999999"/>
          <w:sz w:val="20"/>
          <w:szCs w:val="20"/>
        </w:rPr>
        <w:t xml:space="preserve">来源：网络  作者：寂夜思潮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论文对绝大多数的朋友们来说是必不可少的，为了让朋友们都能顺利的编写出所需的论文，论文频道小编专门编辑了“新企业所得税法之间的差异分析及其协调”，希望可以助朋友们一臂之力!一、新所得税会计准则与新《企业所得税法》之间的差异分析在会计准则和所得...</w:t>
      </w:r>
    </w:p>
    <w:p>
      <w:pPr>
        <w:ind w:left="0" w:right="0" w:firstLine="560"/>
        <w:spacing w:before="450" w:after="450" w:line="312" w:lineRule="auto"/>
      </w:pPr>
      <w:r>
        <w:rPr>
          <w:rFonts w:ascii="宋体" w:hAnsi="宋体" w:eastAsia="宋体" w:cs="宋体"/>
          <w:color w:val="000"/>
          <w:sz w:val="28"/>
          <w:szCs w:val="28"/>
        </w:rPr>
        <w:t xml:space="preserve">论文对绝大多数的朋友们来说是必不可少的，为了让朋友们都能顺利的编写出所需的论文，论文频道小编专门编辑了“新企业所得税法之间的差异分析及其协调”，希望可以助朋友们一臂之力!</w:t>
      </w:r>
    </w:p>
    <w:p>
      <w:pPr>
        <w:ind w:left="0" w:right="0" w:firstLine="560"/>
        <w:spacing w:before="450" w:after="450" w:line="312" w:lineRule="auto"/>
      </w:pPr>
      <w:r>
        <w:rPr>
          <w:rFonts w:ascii="宋体" w:hAnsi="宋体" w:eastAsia="宋体" w:cs="宋体"/>
          <w:color w:val="000"/>
          <w:sz w:val="28"/>
          <w:szCs w:val="28"/>
        </w:rPr>
        <w:t xml:space="preserve">一、新所得税会计准则与新《企业所得税法》之间的差异分析</w:t>
      </w:r>
    </w:p>
    <w:p>
      <w:pPr>
        <w:ind w:left="0" w:right="0" w:firstLine="560"/>
        <w:spacing w:before="450" w:after="450" w:line="312" w:lineRule="auto"/>
      </w:pPr>
      <w:r>
        <w:rPr>
          <w:rFonts w:ascii="宋体" w:hAnsi="宋体" w:eastAsia="宋体" w:cs="宋体"/>
          <w:color w:val="000"/>
          <w:sz w:val="28"/>
          <w:szCs w:val="28"/>
        </w:rPr>
        <w:t xml:space="preserve">在会计准则和所得税法律制度相对独立的条件下，根据会计准则确定的会计利润和根据税法确定的应税所得之间差异有日益扩大的趋势，就新颁布的新会计准则和新所得税法而言，主要差异如下表所示：</w:t>
      </w:r>
    </w:p>
    <w:p>
      <w:pPr>
        <w:ind w:left="0" w:right="0" w:firstLine="560"/>
        <w:spacing w:before="450" w:after="450" w:line="312" w:lineRule="auto"/>
      </w:pPr>
      <w:r>
        <w:rPr>
          <w:rFonts w:ascii="宋体" w:hAnsi="宋体" w:eastAsia="宋体" w:cs="宋体"/>
          <w:color w:val="000"/>
          <w:sz w:val="28"/>
          <w:szCs w:val="28"/>
        </w:rPr>
        <w:t xml:space="preserve">二、加强新所得税准则与新《企业所得税法》协调的必要性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2026-04-07T02:29:32+08:00</dcterms:created>
  <dcterms:modified xsi:type="dcterms:W3CDTF">2026-04-07T02:29:32+08:00</dcterms:modified>
</cp:coreProperties>
</file>

<file path=docProps/custom.xml><?xml version="1.0" encoding="utf-8"?>
<Properties xmlns="http://schemas.openxmlformats.org/officeDocument/2006/custom-properties" xmlns:vt="http://schemas.openxmlformats.org/officeDocument/2006/docPropsVTypes"/>
</file>