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虎父无犬子的意思|详解</w:t>
      </w:r>
      <w:bookmarkEnd w:id="1"/>
    </w:p>
    <w:p>
      <w:pPr>
        <w:jc w:val="center"/>
        <w:spacing w:before="0" w:after="450"/>
      </w:pPr>
      <w:r>
        <w:rPr>
          <w:rFonts w:ascii="Arial" w:hAnsi="Arial" w:eastAsia="Arial" w:cs="Arial"/>
          <w:color w:val="999999"/>
          <w:sz w:val="20"/>
          <w:szCs w:val="20"/>
        </w:rPr>
        <w:t xml:space="preserve">来源：网络  作者：深巷幽兰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虎父无犬子        hǔ fù wú quǎn zǐ  成语解释 勇猛的父亲不会生出一般的孩子。用于夸奖别人的子辈 成语出处 章诒和《往事并不如烟·最后的贵族》：“以十九岁之妙龄弱质，凌数千里之莽涛瘴雾，亦可谓也。” 常用程度 常用成...</w:t>
      </w:r>
    </w:p>
    <w:p>
      <w:pPr>
        <w:ind w:left="0" w:right="0" w:firstLine="560"/>
        <w:spacing w:before="450" w:after="450" w:line="312" w:lineRule="auto"/>
      </w:pPr>
      <w:r>
        <w:rPr>
          <w:rFonts w:ascii="宋体" w:hAnsi="宋体" w:eastAsia="宋体" w:cs="宋体"/>
          <w:color w:val="000"/>
          <w:sz w:val="28"/>
          <w:szCs w:val="28"/>
        </w:rPr>
        <w:t xml:space="preserve">虎父无犬子        hǔ fù wú quǎn zǐ  成语解释 勇猛的父亲不会生出一般的孩子。用于夸奖别人的子辈 成语出处 章诒和《往事并不如烟·最后的贵族》：“以十九岁之妙龄弱质，凌数千里之莽涛瘴雾，亦可谓也。” 常用程度 常用成语 感情色彩 中性成语 成语用法 作宾语、定语；用于夸奖人 成语结构 主谓式成语 产生年代 当代成语 成语例子 柳建伟《英雄时代》第26章：“即便有血统论这一说，也只讲老子英雄儿好汉，。” 英语翻译 Eagles do not breed doves.  其他语言 Non generant aquilae columbas.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2026-06-19T05:52:43+08:00</dcterms:created>
  <dcterms:modified xsi:type="dcterms:W3CDTF">2026-06-19T05:52:43+08:00</dcterms:modified>
</cp:coreProperties>
</file>

<file path=docProps/custom.xml><?xml version="1.0" encoding="utf-8"?>
<Properties xmlns="http://schemas.openxmlformats.org/officeDocument/2006/custom-properties" xmlns:vt="http://schemas.openxmlformats.org/officeDocument/2006/docPropsVTypes"/>
</file>