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小学批改作文评语(十九篇)</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学批改作文评语一全文可圈可点的佳句不少,给文章增添了些文学情趣本文在故事情节上或许并无特别之吸引人之处,但仍不失为一篇成功之作,其一,较好地刻画了角色的形象,其二语言生动丰富,生活气息浓,起到了良好的表情达意之效果文章以…为结尾,言简意赅...</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小学批改作文评语一</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小学批改作文评语二</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小学批改作文评语三</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小学批改作文评语四</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小学批改作文评语五</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小学批改作文评语六</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小学批改作文评语八</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小学批改作文评语九</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小学批改作文评语篇十</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4"/>
          <w:szCs w:val="34"/>
          <w:b w:val="1"/>
          <w:bCs w:val="1"/>
        </w:rPr>
        <w:t xml:space="preserve">小学批改作文评语篇十一</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小学批改作文评语篇十二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小学批改作文评语篇十三</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小学批改作文评语篇十四</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小学批改作文评语篇十五</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小学批改作文评语篇十六</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小学批改作文评语篇十七</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小学批改作文评语篇十八</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小学批改作文评语篇十九</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2026-11-01T03:17:16+08:00</dcterms:created>
  <dcterms:modified xsi:type="dcterms:W3CDTF">2026-11-01T03:17:16+08:00</dcterms:modified>
</cp:coreProperties>
</file>

<file path=docProps/custom.xml><?xml version="1.0" encoding="utf-8"?>
<Properties xmlns="http://schemas.openxmlformats.org/officeDocument/2006/custom-properties" xmlns:vt="http://schemas.openxmlformats.org/officeDocument/2006/docPropsVTypes"/>
</file>