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金融合同:城镇职工基本医疗保险定点零售药店服务协议文本</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甲方：统筹地区社会保险经办机构　　乙方：____________定点零售药店　　根据劳动和社会保障部、国家药品监督管理局颁发的《基本医疗保险定点零售药店管理暂行办法》（劳社部发〔1999〕16号）的有关规定，为保证零售药店更好地为参保人员提...</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　　乙方：____________定点零售药店　　根据劳动和社会保障部、国家药品监督管理局颁发的《基本医疗保险定点零售药店管理暂行办法》（劳社部发〔1999〕16号）的有关规定，为保证零售药店更好地为参保人员提供基本医疗保险范围内的用药服务，甲方确定乙方为基本医疗保险定点零售药店。经甲乙双方协商，签订协议如下：　　第一条　甲乙双方应严格遵守《中华人民共和国药品管理法》、《国务院关于建立城镇职工基本医疗保险制度的决定》、《基本医疗保险定点零售药店管理暂行办法》、《________城镇职工基本医疗保险实施方案》及相关法律、法规，严格执行国家、省、自治区、直辖市规定的药品价格政策。　　第二条　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　　乙方必须配备专（兼）职管理人员，并配备与基本医疗保险相配套的计算机硬件系统，相关的软件由甲方负责提供。　　第三条　甲方应及时向乙方通报基本医疗保险政策的信息和调整情况以及参保人员的变动情况。　　第四条　乙方应在药店的显要位置悬挂甲方统一制作的定点零售药店标牌，以方便患者辨认购药。　　第五条　参保人员持本人定点医疗机构医生开具的处方（以处称外配处方）到乙方调剂，乙方需要查验其基本医疗保险证件有关项目是否与所持处方相符，准确无误后才能予以调剂。　　第六条　参保人员持外配处方到乙方调剂，乙方要严格按照国家处方调剂的有关规定，给予认真调剂。如因调剂不当出现药事责任由乙方承担。　　第七条　乙方无正当理由，不能拒绝参保人员按外配处方调剂的请求，若认定外配处方配伍或剂量有疑义时，要告知参保人员，由原开处方的医生修改后再给予调剂。　　第八条　参保人员持外配处方到乙方调剂，乙方因各种原因不能完成处方调剂时，应告知参保人员并负责联系其他定点药店进行调剂。　　第九条　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　　若需要支付现金（药品需参保人员个人负担部分）或其个人帐户已用完需用现金支付时，乙方要开具现金收据。　　第十条　乙方按规定（月、双月、季）将参保人员使用个人帐户在乙方购药费清单交送给甲方以备核查（内容包括：参保人员姓名、保险 证号、处方医疗机构、处方张数、药品品名、数量、药费等）。　　第十一条　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　　（一）处方与基本医疗保险证明相关的资料项目不符，乙方仍予以受理；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　　（二）参保人员持用伪造、变造或外观上足以辨认为不实处方，乙方仍予受理；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　　（三）未依照处方调剂；</w:t>
      </w:r>
    </w:p>
    <w:p>
      <w:pPr>
        <w:ind w:left="0" w:right="0" w:firstLine="560"/>
        <w:spacing w:before="450" w:after="450" w:line="312" w:lineRule="auto"/>
      </w:pPr>
      <w:r>
        <w:rPr>
          <w:rFonts w:ascii="宋体" w:hAnsi="宋体" w:eastAsia="宋体" w:cs="宋体"/>
          <w:color w:val="000"/>
          <w:sz w:val="28"/>
          <w:szCs w:val="28"/>
        </w:rPr>
        <w:t xml:space="preserve">　　（四）调剂的处方不属于基本医疗保险给付范围；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　　（五）出售的药品中出现假药、劣药；</w:t>
      </w:r>
    </w:p>
    <w:p>
      <w:pPr>
        <w:ind w:left="0" w:right="0" w:firstLine="560"/>
        <w:spacing w:before="450" w:after="450" w:line="312" w:lineRule="auto"/>
      </w:pPr>
      <w:r>
        <w:rPr>
          <w:rFonts w:ascii="宋体" w:hAnsi="宋体" w:eastAsia="宋体" w:cs="宋体"/>
          <w:color w:val="000"/>
          <w:sz w:val="28"/>
          <w:szCs w:val="28"/>
        </w:rPr>
        <w:t xml:space="preserve">　　（六）违反国家物价政策，售出药品价格高于国家定价，其差价部分应予追回。　　第十二条　乙方有出售假药、劣药、以物代药等不依照处方调剂以及药店与医院合谋骗取医疗保险金等违规情况，相关费用甲方不予支付。并视情节轻重，建议劳动保障部门责令其限期改正或取消其定点资格。　　第十三条　甲方如发现重复核付的药品费，应在下期支付款中扣除追回。　　第十四条　甲方应于乙方送达药品费申请之日起____日内办理暂付事宜，暂付款按审核后总额的90％按期支付给定点药店，其余10％留作保证金，根据年终考核审定情况最迟于次年____月____日前结算。　　第十五条　乙方向甲方申请支付参保人员调剂处方药品费，应定期向甲方申报药品费清单申请核付。　　第十六条　甲方为了审查医疗保险给付需要，请乙方提供说明，或派人赴乙方查询或调用调剂记录、处方、帐单、收据及有关文件资料，乙方应详细说明并提供有关文件及资料，不得拒绝。　　第十七条　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　　第十八条　双方无论以何种理由终止协议，必须提前____日通知对方。　　第十九条　甲乙双方在药品费结算或遇违约出现争议时，可按照《中华人民共和国行政复议法》和《中华人民共和国行政诉讼法》的有关规定，向同级劳动保障行政部门申请行政复议或向人民法院提起行政诉讼。　　第二十条　如乙方违反国家有关法律、法规，则按有关规定处理。　　第二十一条　本协议未尽事宜，甲乙双方可以换文形式进行补充，效力与本协议相同。　　第二十二条　本协议有效期1年，自________年____月___ 日起至________年____月____日止。　　第二十三条　协议期满，经双方协商，可以在协议期满前1个月内续签。　　第二十四条　本协议一式两份，甲乙双方各执一份，具有同等效力。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2026-04-10T13:22:53+08:00</dcterms:created>
  <dcterms:modified xsi:type="dcterms:W3CDTF">2026-04-10T13:22:53+08:00</dcterms:modified>
</cp:coreProperties>
</file>

<file path=docProps/custom.xml><?xml version="1.0" encoding="utf-8"?>
<Properties xmlns="http://schemas.openxmlformats.org/officeDocument/2006/custom-properties" xmlns:vt="http://schemas.openxmlformats.org/officeDocument/2006/docPropsVTypes"/>
</file>