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《浪淘沙·赋虞美人草》该如何理解？创作背景是什么？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浪淘沙·赋虞美人草　　辛弃疾 〔宋代〕　　不肯过江东。玉帐匆匆。至今草木忆英雄。唱著虞兮当日曲，便舞春风。　　儿女此情同。往事朦胧。湘娥竹上泪痕浓。舜盖重瞳堪痛恨，羽又重瞳。　　注释　　虞美人草：《梦溪笔谈》：“高邮桑景舒性知音，旧传有...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不肯过江东。玉帐匆匆。至今草木忆英雄。唱著虞兮当日曲，便舞春风。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儿女此情同。往事朦胧。湘娥竹上泪痕浓。舜盖重瞳堪痛恨，羽又重瞳。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虞美人草：《梦溪笔谈》：“高邮桑景舒性知音，旧传有虞美人草，闻人作虞美人曲则枝叶皆动，他曲不然。”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玉帐：军帐之美称。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匆匆：急急忙忙的样子，指项羽四面楚歌，自刎乌江。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湘娥句：舜帝死后，二湘妃泣泪落翠竹，在竹上留下斑迹，人谓之斑竹。张泌《临江仙》：“翠竹暗留珠泪怨，闲调宝瑟波中。”刘禹锡《潇湘神》：“斑竹枝，斑竹枝，泪痕点点寄相思。”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