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《哭刘蕡》的创作背景是什么？该如何赏析呢？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哭刘蕡　　李商隐 〔唐代〕　　上帝深宫闭九阍，巫咸不下问衔冤。　　黄陵别后春涛隔，湓浦书来秋雨翻。　　只有安仁能作诔，何曾宋玉解招魂?　　平生风义兼师友，不敢同君哭寝门。　　译文　　天帝高高在上，天门紧闭，更不派神巫下凡来问一下刘蕡您的...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哭刘蕡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上帝深宫闭九阍，巫咸不下问衔冤。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黄陵别后春涛隔，湓浦书来秋雨翻。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只有安仁能作诔，何曾宋玉解招魂?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平生风义兼师友，不敢同君哭寝门。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天帝高高在上，天门紧闭，更不派神巫下凡来问一下刘蕡您的冤情。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自从去年春天与您在黄陵分别后就一直被滔滔江水阻隔，再也没有见面，一别之后，等来的竟是您客死浔阳的噩耗。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我此时只能像潘岳一样空作哀诔之文，却无法为您招魂使您起死回生。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刘蕡您平生高风亮节，于我亦师亦友，我不敢与您同列，更不敢在寝外哭悼亡灵。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李商隐初闻刘蕡病故的噩耗而作。刘蕡的卒年，史籍没有明确记载。冯浩《李商隐年谱》定在会昌二年(842年)，刘学锴、余恕诚《李商隐诗歌集解》则定在大中三年(849年)秋。根据《李商隐诗歌集解》，此诗当作于唐宣宗大中三年(849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寓言刘蕡被冤贬的情景：高高在上的天帝，安居深宫，重门紧闭，也不派遣巫咸到下界来了解衔冤负屈的情况。这幅超现实的上下隔绝、昏暗阴冷的图景，实际上是对被冤贬的刘蕡所处的现实政治环境一种象征性描写。比起他另外一些诗句如“九重黯已隔”、“天高但抚膺”等，形象更加鲜明，感情也更加强烈。诗人的矛头，直接指向昏聩、冷酷的“上帝”，笔锋凌厉，情绪激愤，使这首诗一开始就笼罩在一种急风骤雨式的气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从去年春天的离别写到今秋的突闻噩耗，大中二年初春，两人在黄陵离别，以后就一直没有再见面，故说“黄陵别后春涛隔”。第二年秋天，刘蕡的死讯从浔阳传来，故说“湓浦书来秋雨翻”。这两句融叙事、写景、抒情为一体，具有鲜明而含蕴的意境和浓烈的感情色彩。“春涛隔”，不只形象地显示了别后江湖阻隔的情景，而且含蓄地表达了因阻隔而引起的深长思念，“春涛”的形象，更赋予这种思念以优美丰富的联想。“秋雨翻”，既自然地点明听到噩耗的时间，又烘托出一种悲怆凄凉的气氛，使诗人当时激愤悲恸与凄冷哀伤交织的情怀，通过具体可感的画面形象得到极富感染力的表现。两句一写生离，一写死别，生离的思念更衬出死别的悲伤。感情先由上联的激愤沉痛转为纤徐低徊，又由纤徐低徊转为悲恸激愤，显得波澜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幅由冤贬到死别，在叙事的基础上融入浓厚的抒情成分。后幅转为直接抒情。颈联以擅长作哀谏之文的西晋作家潘岳(字安仁)和“怜哀屈原忠而斥弃，……魂魄散佚”而作《招魂》的宋玉自喻，说自己只能写哭吊的诗文深致哀悼，却无法招其魂魄使之复生。两句一正(只有……能)一反(何曾……解)，相互映衬，有力地表达出诗人悲痛欲绝而又徒唤奈何的心情，下句尤显得拗峭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归结到彼此间的关系，正面点出题中的”哭”字。刘蕡敢于和宦官斗争的精神和鲠直的品质，使他在士大夫和知识分子中获得很高的声誉和普遍的崇敬，当时有声望的大臣牛僧孺、令狐楚出镇襄阳、兴元时，都辟刘蕡入幕，待之如师友。诗人和刘蕡之间，既有多年的友谊，而刘蕡的风采节概又足以为己师表，所以说“平生风义(情谊)兼师友”。《礼记·檀弓上》说，死者是师，应在内寝哭吊;死者是友，应在寝门外哭吊。诗人尊刘蕡如师，所以说不敢自居于刘蕡的同列而哭于寝门之外。这两句，不但表达了侍人对刘蕡的深挚情谊和由衷钦仰，也显示了这种情谊的共同思想、政治基础，正因为这样，这首哭吊朋友的诗，其思想意义就远远超越一般友谊的范围，而具有鲜明的政治内容和强烈的政治批判色彩;诗人的悲痛、愤激、崇敬与同情也就不只属于个人，而具有普遍的意义。直接抒情，易流于空泛、抽象，但由于诗人感情的深挚和表达的朴素真切，则显出深沉凝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