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动产买卖合同 动产购买价款(二十篇)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动产买卖合同 动产购买价款一法定代表人：地址：联系方式：乙方：法定代表人：地址：联系方式：甲乙双方经过协商，本着自愿及平等互利的原则，就甲方向乙方购卖本合同约定的货物事宜，达成如下一致：一、名称、品种、规格和质量1.名称2.品种3.规格4....</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动产买卖合同 动产购买价款篇十一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w:t>
      </w:r>
    </w:p>
    <w:p>
      <w:pPr>
        <w:ind w:left="0" w:right="0" w:firstLine="560"/>
        <w:spacing w:before="450" w:after="450" w:line="312" w:lineRule="auto"/>
      </w:pPr>
      <w:r>
        <w:rPr>
          <w:rFonts w:ascii="宋体" w:hAnsi="宋体" w:eastAsia="宋体" w:cs="宋体"/>
          <w:color w:val="000"/>
          <w:sz w:val="28"/>
          <w:szCs w:val="28"/>
        </w:rPr>
        <w:t xml:space="preserve">面积误差比绝对值在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