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建材买卖合同纠纷案例(23篇)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材买卖合同纠纷案例一合同编号：_______________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__%的违约金;延迟交货_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3、本合同未定事项，双方可协商签定补充协议。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建材买卖合同纠纷案例篇二十一</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建材买卖合同纠纷案例篇二十二</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