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二手房买卖合同纠纷案例(24篇)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二手房买卖合同纠纷案例一买方：_______________(简称乙方) 身份证号码：_____________________根据《中华人民共和国民法典》、《中华人民共和国城市房地产管理法》及其他有关法律、法规之规定...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__________天内腾空该房屋，并在三天内一次性结清本套房屋，物业管理、水、电、有线电视、通讯等费用，并保证上述房屋不存在任何费用及滞纳金与违约金的前提下，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 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第___________号《房屋所有权证》，___________房共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卖方(以下简称甲方)：__________(本人)(法定代表人)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 国籍：__________ (身份证)(护照)(营业执照号码)：__________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 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二手房买卖合同纠纷案例六</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二手房买卖合同纠纷案例七</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