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承揽合同范本:建筑装饰工程施工合同（乙种本）（示范文本）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　　承包方（乙方）：　　按照《中华人民共和国经济合同法》和《建筑安装工程承包合同条例》的规定，结合本工程具体情况，双方达成如下协议。　　第1条、工程概况　　1.1工程名称：　　1.2工程地点：　　1.3承包范围：　　1.4承...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1.5工期：本工程自年月日开工，于年月日竣工。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1.7合同价款（人民币大写）：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开工前天，向乙方提供经确认的施工图纸或作法说明份，并向乙方进行现场交底。全部腾空或部分腾空房屋，清除影响施工的障碍物。对只能部分腾空的房屋中所滞留的家具、陈设等采取保护措施。向乙方提供施工所需的水、电、气及电讯等设备，并说明使用注意事项。办理施工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2.2指派为甲方驻工地代表，负责合同履行。对工程质量、进度进行监督检查，办理验收、变更、登记手续和其他事宜。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2.3委托监理公司进行工程监理，监理公司任命为总监理工程师，其职责在监理合同中应明确，并将合同副本交乙方份。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2.5如确实需要拆改原建筑物结构或设备管线，负责到有关部门办理相应审批手续。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3.2指派为乙方驻工地代表，负责合同履行。按要求组织施工，保质、保量、按期完成施工任务，解决由乙方负责的各项事宜。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遵守国家或地方政府及有关部门对施工现场管理的规定，妥善保护好施工现场周围建筑物、设备管线、古树名木不受损坏。做好施工现场保卫和垃圾消纳等工作，处理好由于施工带来的扰民问题及与周围单位（住户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3.5施工中未经甲方同意或有关部门批准，不得随意折改原建筑物结构及各种设备管线。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第4条、关于工期的约定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4.4因设计变更或非乙方原因造成的停电、停水、停气及不可抗力因素影响，导致停工8小时以上（一周内累计计算），工期相应顺延。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5.1本工程以施工图纸、作法说明、设计变更和《建筑装饰工程施工及验收规范》（JGJ73－91）、《建筑安装工程质量检验评定统一标准》（GBJ300－88）等国家制订的施工及验收规范为质量评定验收标准。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5.2本工程质量应达到国家质量评定合格标准。甲方要求部分或全部工程项目达到优良标准时，应向乙方支付由此增加的费用。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工程竣工后，乙方应通知甲方验收，甲方自接到验收通知日内组织验收，并办理验收、移交手续。如甲方在规定时间内未能组织验收，需及时通知乙方，另定验收日期。但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6.1双方商定本合同价款采用第种：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（2）固定价格加％包干风险系数计算。包干风险包括内容。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（3）可调价格：按照国家有关工程计价规定计算造价，并按有关规定进行调整和竣工结算。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6.2本合同生效后，甲方分次，按下表约定支付工程款，尾款竣工结算时一次结清。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拨款分 次进行 ｜ 拨款 ％ ｜ 金 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6.3工程竣工验收后，乙方提出工程结算并将有关资料送交甲方。甲方自接到上述资料天内审查完毕，到期未提出异议，视为同意。并在天内，结清尾款。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本工程甲方负责采购供应的材料、设备（见附表一）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％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7.2凡由乙方采购的材料、设备，如不符合质量要求或规格有差异，应禁止使用。若已使用，对工程造成的损失由乙方负责。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8.2乙方在施工期间应严格遵守《建筑安装工程安全技术规程》、《建筑安装工人安全操作规程》、《中华人民共和国消防条例》和其它相关的法规、规范。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8.4由于乙方在施工生产过程中违反有关安全操作规程、消防条例，导致发生安全或火灾事故，乙方应承担由此引发的一切经济损失。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第9条、奖励和违约责任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9.1由于甲方原因导致延期开工或中途停工，甲方应补偿乙方因停工、窝工所造成的损失。每停工或窝工一天，甲方支付乙方元。甲方不按合同的约定拨付款，每拖期一天，按付款额的％支付滞纳金。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9.2由于乙方原因，逾期竣工，每逾期一天，乙方支付甲方元违约金。甲方要求提前竣工，除支付赶工措施费外，每提前一天，甲方支付乙方元，作为奖励。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9.3乙方按照甲方要求，全部或部分工程项目达到优良标准时，除按本合同5.2款增加优质价款外，甲方支付乙方元，作为奖励。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9.5甲方未办理任何手续，擅自同意拆改原有建筑物结构或设备管线，由此发生的损失或事故（包括罚款），由甲方负责并承担损失。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9.6未经甲方同意，乙方擅自拆改原建筑物结构或设备管线，由此发生的损失或事故（包括罚款），由乙方负责并承担损失。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9.7未办理验收手续，甲方提前使用或擅自动用，造成损失由甲方负责。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9.8因一方原因，合同无法继续履行时，应通知对方，办理合同终止协议，并由责任方赔偿对方由此造成的经济损失。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10.1本合同在履行期间，双方发生争议时，在不影响工程进度的前提下，双方可采取协商解决或请有关部门进行调解。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10.2当事人不愿通过协商、调解解决或者协商、调解不成时，本合同在执行中发生的争议双方同意由仲裁委员会仲裁（当事人不在本合同约定仲裁机构，事后又没有达成书面仲裁协议的，可向人民法院起诉）。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12.1本工程需要进行保修或保险时，应另订协议。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12.2本合同正本两份，双方各执一份。副本份，甲方执份，乙方执份。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（1）施工图纸或作法说明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（2）工程项目一览表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（4）甲方提供货物清单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（5）会议纪要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附表一：XXX工程甲方供应材料设备一览表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序 ｜材料或设备｜ 规格 ｜ 单 ｜ 数 ｜ ｜ 供应 ｜ 送达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单价 ｜ ｜ ｜备注｜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号 ｜ 名称 ｜ 型号 ｜ 位 ｜ 量 ｜ ｜ 时间 ｜ 地点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建设部／国家工商行政管理局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