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建筑工人劳动合同(3篇)</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喂牛工人劳动合同装修工人劳动合同一乙方：砖厂所有管理和劳动人员第一条：甲方：红砖厂法人代表（甲方代表）：经营地址：第二条：乙方：一、成品红砖加工组1、红砖加工组管理主任：辽宁省建昌县魏家岭乡柴木沟村人2、装窑工：辽宁省建昌县汤神庙乡人，等1...</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喂牛工人劳动合同装修工人劳动合同一</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喂牛工人劳动合同装修工人劳动合同二</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w:t>
      </w:r>
    </w:p>
    <w:p>
      <w:pPr>
        <w:ind w:left="0" w:right="0" w:firstLine="560"/>
        <w:spacing w:before="450" w:after="450" w:line="312" w:lineRule="auto"/>
      </w:pPr>
      <w:r>
        <w:rPr>
          <w:rFonts w:ascii="宋体" w:hAnsi="宋体" w:eastAsia="宋体" w:cs="宋体"/>
          <w:color w:val="000"/>
          <w:sz w:val="28"/>
          <w:szCs w:val="28"/>
        </w:rPr>
        <w:t xml:space="preserve">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 年 月 日 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 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