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最新委托检测合同要素(13篇)</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检测合同要素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委托检测合同要素篇十一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