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2025年协商合同(七篇)</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协商合同一一、为房屋买卖有关事宜，经双方协商，订合同如下:甲方自愿下列房屋卖给乙方所有:(一).房屋状况: 房 屋 座 落: 建筑面积:平方方米 用途:住宅2、房屋所有权证号:3、土地使用权证号:二、甲乙双方商定成交价格为人民币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协商合同一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协商合同六</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协商合同七</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