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2025年高科技产品专利申请权转让合同 科技专利技术转让(24篇)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 科技专利技术转让一技术受让人：(公章)(甲方)技术让与人：(公章)(乙方)中介人：(公章)合同登记机关：签订日期： 年 月 日合同履行期限： 年 月 日至 年 月 日研制单位(个人)研制完成时间 年 月 日主要...</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 科技专利技术转让篇十一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