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项目投资合作协议</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甲方： 天下迪(上海)投资有限公司乙方： 湖北大康集团公司鉴于甲方拥有良好的资本运作能力和强劲的市场开拓能力，乙方拥有丰富的社会资源和成熟的项目管理经验。根据《中华人民共和国公司法》和《中华人民共和国合同法》的有关规定，甲、乙双方经友好协商...</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2025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XXXX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XXX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起义、兵变、社会*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X仲裁委员会仲裁，并按X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