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工艺品购销合同明细(十四篇)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明细一(以下简称乙方)根据《中华人民共和国合同法》规定，本着公平、合理、合法的原则，经双方友好协商，一致达成以下协议，具体如下：鉴于甲方拥有“千年情”系列工艺品在中国的独家生产权、商标权、专利权，且甲方愿意授权乙方作为甲方在指...</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工艺品购销合同明细篇十一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工艺品购销合同明细篇十四</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