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2025年饭店供餐合同 餐饮酒店供应商供货合同(六篇)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供餐正规合同版本一地址：法定代表人（委托代理人）：联系方式：乙方（劳动者）姓名：家庭住址：居民身份证号码：联系方式：甲乙双方根据《_劳动法》、《_劳动合同法》等法律、法规、规章的规定，在平等自愿、协商一致的基础上，同意订立本劳动合同，共...</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 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酒店供餐正规合同版本五</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酒店供餐正规合同版本六</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