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 股份转让合同才能有法律效应十四篇(优质)</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股份转让合同才能有法律效应一受让方： (以下简称乙方)根据《中华人民共和国公司法》第七十二条的有关规定和股东会决议，现就转让方和受让方在广州市加兴日用品有限公司的出资转让事宜订立如下协议：一、李伟股东将占公司注册资本的_...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 股份转让合同才能有法律效应篇十一</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股份转让合同才能有法律效应篇十二</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股份转让合同才能有法律效应篇十四</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