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门头广告牌制作合同大全(六篇)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简易广告牌制作合同印花税一甲乙双方根据《民法典》及有关规定，签订本合同，并共同遵守。一、甲方委托乙方于年月日制作.二、名称：三、规格为：四、制作要求：五、安装地点：六、完工日期：七、广告采用甲方提供样稿，未经甲方同意，乙方不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广告牌制作合同简易广告牌制作合同印花税一</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十、双方因本合同发生争议，应友好协商解决，协商不成的由xx县仲裁委员会仲裁。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广告牌制作合同简易广告牌制作合同印花税六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