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融创合同范本(优选9篇)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融创合同范本17月14日，西安市住建局等五部门印发《关于防范商品房延期交房增量问题的工作措施》，其中明确：&gt;商品房预售资金应全部直接存入专用监管账户进行监管；商品房项目完成主体结构验收前，累计使用重点监管资金不得超过总额的50%；开发企业不...</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融创合同范本1</w:t>
      </w:r>
    </w:p>
    <w:p>
      <w:pPr>
        <w:ind w:left="0" w:right="0" w:firstLine="560"/>
        <w:spacing w:before="450" w:after="450" w:line="312" w:lineRule="auto"/>
      </w:pPr>
      <w:r>
        <w:rPr>
          <w:rFonts w:ascii="宋体" w:hAnsi="宋体" w:eastAsia="宋体" w:cs="宋体"/>
          <w:color w:val="000"/>
          <w:sz w:val="28"/>
          <w:szCs w:val="28"/>
        </w:rPr>
        <w:t xml:space="preserve">7月14日，西安市住建局等五部门印发《关于防范商品房延期交房增量问题的工作措施》，其中明确：&gt;商品房预售资金应全部直接存入专用监管账户进行监管；商品房项目完成主体结构验收前，累计使用重点监管资金不得超过总额的50%；开发企业不能按期交付房屋，引发群体性事件，造成严重社会影响的，记为信用等级差的企业，向社会公示。另外，同日，&gt;汕头为进一步加强商品房预售款的监督管理，保证商品房预售款专款专用，促进房地产市场健康发展，汕头市住建局发布《汕头市住房和城乡建设局商品房预售款监督管理暂行办法》，明确了监管资金的归集、支取和监督管理相关概念、操作流程、操作办法、管理责任，在本市行政区域内统一实施。</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融创合同范本2</w:t>
      </w:r>
    </w:p>
    <w:p>
      <w:pPr>
        <w:ind w:left="0" w:right="0" w:firstLine="560"/>
        <w:spacing w:before="450" w:after="450" w:line="312" w:lineRule="auto"/>
      </w:pPr>
      <w:r>
        <w:rPr>
          <w:rFonts w:ascii="宋体" w:hAnsi="宋体" w:eastAsia="宋体" w:cs="宋体"/>
          <w:color w:val="000"/>
          <w:sz w:val="28"/>
          <w:szCs w:val="28"/>
        </w:rPr>
        <w:t xml:space="preserve">7月13日，花样年控股集团有限公司发布公告称，&gt;德勤·关黄陈方会计师行应花样年建议已辞任花样年核数师，自20_年7月11日起生效。公告称，尽管花样年一直努力编制20_年审核的财务资料，但20_年第一季度内地爆发COVID-19及实施相关控制措施导致进度出现延误。此外，随着花样年及其附属公司的若干核心管理人员及财务部门员工辞职，财务报告流程受到严重影响。因此，迄今为止已进行的审核现场工作程度有限。经讨论有关建议，董事会认为，委聘另一家核数师可利用组成核数师进行审核工作，更有效和及时完成花样年截至20_年12月31日止年度的审核工作，符合花样年及其股东的最佳利益。</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融创合同范本3</w:t>
      </w:r>
    </w:p>
    <w:p>
      <w:pPr>
        <w:ind w:left="0" w:right="0" w:firstLine="560"/>
        <w:spacing w:before="450" w:after="450" w:line="312" w:lineRule="auto"/>
      </w:pPr>
      <w:r>
        <w:rPr>
          <w:rFonts w:ascii="宋体" w:hAnsi="宋体" w:eastAsia="宋体" w:cs="宋体"/>
          <w:color w:val="000"/>
          <w:sz w:val="28"/>
          <w:szCs w:val="28"/>
        </w:rPr>
        <w:t xml:space="preserve">据消息，忻州市人民政府办公室于近日印发《忻州市促进房地产业良性循环和健康发展三十六条措施的通知》，其中提出发放购房补贴，鼓励人才购房。措施明确，&gt;从20_年7月1日起至20_年12月31日，凡购买忻州城区新建商品住房的，可以家庭为单位，申请领取一次性临时购房补助。购买面积90平方米以下的补助1万元；购买面积90至143平方米（含）的补助2万元；购买面积143平方米以上的补助3万元。人才购房方面，对刚性调入该市财政全额拨款或差额拨款单位的紧缺高层次人才，一次性给予50万元安家费。鼓励房地产开发企业按照博士或正高级职称8万元、副高级职称7万元、硕士6万元、中级职称或技师5万元、本科或初级职称或高级技工4万元、专科3万元、中级技工2万元，在购房时一次性优惠。</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融创合同范本4</w:t>
      </w:r>
    </w:p>
    <w:p>
      <w:pPr>
        <w:ind w:left="0" w:right="0" w:firstLine="560"/>
        <w:spacing w:before="450" w:after="450" w:line="312" w:lineRule="auto"/>
      </w:pPr>
      <w:r>
        <w:rPr>
          <w:rFonts w:ascii="宋体" w:hAnsi="宋体" w:eastAsia="宋体" w:cs="宋体"/>
          <w:color w:val="000"/>
          <w:sz w:val="28"/>
          <w:szCs w:val="28"/>
        </w:rPr>
        <w:t xml:space="preserve">据消息，7月12日，沧州市发布了《沧州市商品房预售资金监管办法》（征求意见稿），其中明确提出，商品房预售资金应全部存入监管账户，设立监管账户后，&gt;在商品房买卖合同中须注明：“购房款不进入监管账号，此合同无效，买售双方可随时解除”字样。同时，房地产开发企业销售新建商品住房去化周期较长，监管账户收存的预售资金达不到重点监管资金额度，可以凭其监管银行以外的符合条件的商业银行或金融机构出具不可撤销见索即付现金保函，免除同等额度的重点监管资金额度。另外，建立商品房预售资金直接收取机制，由购房人将购房款（包括定金等一切形式的购房款）直接存入监管项目售楼处设置的监管账户专用设备。购房人申请按揭贷款的，贷款银行或住房公积金管理中心应当将按揭贷款或住房公积金贷款直接发放到该监管账户。</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融创合同范本5</w:t>
      </w:r>
    </w:p>
    <w:p>
      <w:pPr>
        <w:ind w:left="0" w:right="0" w:firstLine="560"/>
        <w:spacing w:before="450" w:after="450" w:line="312" w:lineRule="auto"/>
      </w:pPr>
      <w:r>
        <w:rPr>
          <w:rFonts w:ascii="宋体" w:hAnsi="宋体" w:eastAsia="宋体" w:cs="宋体"/>
          <w:color w:val="000"/>
          <w:sz w:val="28"/>
          <w:szCs w:val="28"/>
        </w:rPr>
        <w:t xml:space="preserve">据悉，7月11日，河北省保定市住房公积金管理中心发布《关于调整住房公积金贷款相关政策的通知》，提出自8月1日起，保定市&gt;降低购房申请住房公积金贷款首付款比例，购买首套住房申请住房公积金贷款的，购房首付款比例由不低于30%调整为不低于20%；购买第二套住房申请住房公积金贷款的，购房首付款比例由不低于60%调整为不低于30%。同时，&gt;实行差别化住房公积金贷款最低、最高额度，对于单方缴存公积金的家庭，申请住房公积金贷款最低贷款额度30万元；夫妻双方缴存公积金的家庭最低贷款额度40万元。对于单方缴存公积金的家庭，申请住房公积金贷款最高贷款额度60万元；夫妻双方缴存公积金的家庭，申请住房公积金贷款最高贷款额度90万元。对于取得保定市人才引进“燕赵英才卡”的缴存职工购买首套住房以及生育三孩及以上的缴存职工申请公积金贷款最高贷款额度130万元且不受缴存余额及缴存时间系数限制。对于生育二孩的缴存职工申请住房公积金贷款，单方缴存公积金的申请公积金贷款最高额度80万元；夫妻双方缴存公积金的100万元。</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融创合同范本6</w:t>
      </w:r>
    </w:p>
    <w:p>
      <w:pPr>
        <w:ind w:left="0" w:right="0" w:firstLine="560"/>
        <w:spacing w:before="450" w:after="450" w:line="312" w:lineRule="auto"/>
      </w:pPr>
      <w:r>
        <w:rPr>
          <w:rFonts w:ascii="宋体" w:hAnsi="宋体" w:eastAsia="宋体" w:cs="宋体"/>
          <w:color w:val="000"/>
          <w:sz w:val="28"/>
          <w:szCs w:val="28"/>
        </w:rPr>
        <w:t xml:space="preserve">7月13日，从深圳市龙岗区人民政府办公室获悉，龙岗区于近日发布了关于《进一步加强房地产项目全周期监管的指导意见》，提出区住房建设局要&gt;加强房地产在售项目预售资金监管，对项目预售资金的收存和使用情况全面核查，排查项目风险隐患，对于预售资金监管要严格按比例留存,确保房地产项目建设竣工交付,维护广大购房者合法权益。区工业和信息化局（金融工作局）积极配合核查监管账户资金违规使用问题。针对存在问题的项目，区住房建设局、区城市更新和土地整备局、市规划和自然资源局龙岗管理局、市生态环境局龙岗管理局等行业主管部门，会同开发企业与属地街道办成立处置小组，开展集中研判，妥善处理，确保交房过程平稳有序。鼓励房地产开发企业在装修交付项目现场，设置“意见收集和沟通联络服务点”及“返修办公室”，对购房者提出的问题，专项开展风险处置化解，集中有效处置合理诉求。</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融创合同范本7</w:t>
      </w:r>
    </w:p>
    <w:p>
      <w:pPr>
        <w:ind w:left="0" w:right="0" w:firstLine="560"/>
        <w:spacing w:before="450" w:after="450" w:line="312" w:lineRule="auto"/>
      </w:pPr>
      <w:r>
        <w:rPr>
          <w:rFonts w:ascii="宋体" w:hAnsi="宋体" w:eastAsia="宋体" w:cs="宋体"/>
          <w:color w:val="000"/>
          <w:sz w:val="28"/>
          <w:szCs w:val="28"/>
        </w:rPr>
        <w:t xml:space="preserve">&gt;融创公司简介：融创塑胶材料有限公司位于中国苏州市吴江开发区江陵东路8号华东商业城c区1幢，融创塑胶材料有限公司是一家pom赛钢板、pa66尼龙板、pe板、petp、ptfe、pvdf、peek、pc、pmma、pvc、pus、upe、进口电木、国产电木、防静电有机玻璃、防静电pom板、防静电pe板、防静电尼龙、导电pom板、导电尼龙等产品的经销批发的有限责任公司(自然人投资或控股)。融创塑胶材料有限公司的产品在消费者当中享有较高的地位，公司与多家零售商和代理商建立了长期稳定的合作关系。无锡融创塑胶材料有限公司经销的pom赛钢板、pa66尼龙板、pe板、petp、ptfe、pvdf、peek、pc、pmma、pvc、pus、upe、进口电木、国产电木、防静电有机玻璃、防静电pom板、防静电pe板、防静电尼龙、导电pom板、导电尼龙品种齐全、价格合理。无锡融创塑胶材料有限公司实力雄厚，重信用、守合同、保证产品质量，以多品种经营特色和薄利多销的原则，赢得了广大客户的信任。</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融创合同范本8</w:t>
      </w:r>
    </w:p>
    <w:p>
      <w:pPr>
        <w:ind w:left="0" w:right="0" w:firstLine="560"/>
        <w:spacing w:before="450" w:after="450" w:line="312" w:lineRule="auto"/>
      </w:pPr>
      <w:r>
        <w:rPr>
          <w:rFonts w:ascii="宋体" w:hAnsi="宋体" w:eastAsia="宋体" w:cs="宋体"/>
          <w:color w:val="000"/>
          <w:sz w:val="28"/>
          <w:szCs w:val="28"/>
        </w:rPr>
        <w:t xml:space="preserve">7月12日，河南省洛阳市新安县发布《新安县促进房地产市场持续平稳健康发展的若干措施》。措施中提到，在有效促进房地产消费方面，积极支持洛阳建设青年友好型城市，对有效期内购买首套商品住宅并缴纳契税的群众，契税全额补贴。&gt;对在新购房的青年大学生（全日制博士研究生、硕士研究生、本科毕业生），购买首套住宅的分别给予3万元、2万元、1万元购房补贴，同时鼓励用人单位给予适当补贴，涉及的房地产企业给予适当优惠。该项政策有效期至20_年12月31日止。进一步完善房屋征收与补偿政策，采取政府回购安置房、货币化安置、发放购房券、组织单位职工团购等形式，满足购房群众住房多样化需求。</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融创合同范本9</w:t>
      </w:r>
    </w:p>
    <w:p>
      <w:pPr>
        <w:ind w:left="0" w:right="0" w:firstLine="560"/>
        <w:spacing w:before="450" w:after="450" w:line="312" w:lineRule="auto"/>
      </w:pPr>
      <w:r>
        <w:rPr>
          <w:rFonts w:ascii="宋体" w:hAnsi="宋体" w:eastAsia="宋体" w:cs="宋体"/>
          <w:color w:val="000"/>
          <w:sz w:val="28"/>
          <w:szCs w:val="28"/>
        </w:rPr>
        <w:t xml:space="preserve">7月12日，国家发展改革委印发《“十四五”新型城镇化实施方案》（以下简称“方案”），提出40余项推进新型城镇化的措施，包括完善城市住房体系、有序推进城市更新改造、加大内涝治理力度等内容。其中关于完善城市住房体系方面，方案表示，&gt;坚持房子是用来住的、不是用来炒的定位，建立多主体供给、多渠道保障、租购并举的住房制度，夯实城市政府主体责任，稳地价、稳房价、稳预期。建立住房和土地联动机制，实施房地产金融审慎管理制度，支持合理自住需求，遏制投资投机性需求。培育发展住房租赁市场，盘活存量住房资源，扩大租赁住房供给，完善长租房政策，逐步使租购住房在享受公共服务上具有同等权利。&gt;加快住房租赁法规建设，加强租赁市场监管，保障承租人和出租人合法权益。完善住房保障基础性制度和支持政策，有效增加保障性住房供给。以人口流入多的大城市为重点，扩大保障性租赁住房供给，着力解决符合条件的新市民、青年人等群体住房困难问题。单列租赁住房用地供应计划，主要利用集体经营性建设用地、企事业单位自有闲置土地、产业园区配套用地和存量闲置房屋建设，适当利用新供应国有建设用地建设。&gt;改革完善住房公积金制度，健全缴存、使用、管理和运行机制&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2026-01-22T19:16:02+08:00</dcterms:created>
  <dcterms:modified xsi:type="dcterms:W3CDTF">2026-01-22T19:16:02+08:00</dcterms:modified>
</cp:coreProperties>
</file>

<file path=docProps/custom.xml><?xml version="1.0" encoding="utf-8"?>
<Properties xmlns="http://schemas.openxmlformats.org/officeDocument/2006/custom-properties" xmlns:vt="http://schemas.openxmlformats.org/officeDocument/2006/docPropsVTypes"/>
</file>