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2025年三方合作协议合同 三方合作合同如何交印花税(14篇)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乙方：______丙方：______甲乙丙三方于______年合伙购买永利砖厂及全部设备，共同经营至_______年，现因砖厂的土已用完，需向外买土，造成成本加大；再加市场不景气，资金回笼慢等诸多...</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