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最新建筑合同纠纷十篇(模板)</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乙方：（以下简称乙方）按照《中华人民共和国合同法》及其他有关法律规定，遵循平等、自愿、公平和诚信的原则，双方就本工程施工事宜达成如下协议。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三、工期要求：开工时间为________年____月____日，竣工时间为________年____月____日。如遇雨天、停电、甲方未按合同支付工程款造成停工，工期顺延。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万元，水槽每米元计算。另外：所做棚高度超过9米以上的单价为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2、付款方式：预付元，中途元，竣工元。</w:t>
      </w:r>
    </w:p>
    <w:p>
      <w:pPr>
        <w:ind w:left="0" w:right="0" w:firstLine="560"/>
        <w:spacing w:before="450" w:after="450" w:line="312" w:lineRule="auto"/>
      </w:pPr>
      <w:r>
        <w:rPr>
          <w:rFonts w:ascii="宋体" w:hAnsi="宋体" w:eastAsia="宋体" w:cs="宋体"/>
          <w:color w:val="000"/>
          <w:sz w:val="28"/>
          <w:szCs w:val="28"/>
        </w:rPr>
        <w:t xml:space="preserve">3、工程大约面积平方米，总造价约万元，以完工计算为准。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五、甲方驻工地代表：电话：乙方驻工地代表：电话：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2、材料标准：彩钢板型号型，彩钢板厚度，上白下蓝，立柱为型钢管，厚度为，檀条采用型钢，立柱混凝土部分由甲方负责材料，乙方承做，人工工资由乙方负责。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八、质保事宜本工程主结构架（含彩钢材）保用________年，在保修期内，钢屋架甲方应每年处理防锈漆一次，七级以上大风、基础沉降、地震、人为因素除外。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九、违约责任甲方违约责任未按照本合同约定按时支付工程款，甲方应向乙方支付应付未付工程款的的违约金。乙方违约责任：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2、本合同签定后，甲、乙双方除单价外如需提出修改时，经双方协商一致后，可以签定补充协议，作为本合同的补充合同，与主合同具有同等法律效力。甲方：乙方：代表人：代表人：二________年____月____日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2026-04-29T09:47:57+08:00</dcterms:created>
  <dcterms:modified xsi:type="dcterms:W3CDTF">2026-04-29T09:47:57+08:00</dcterms:modified>
</cp:coreProperties>
</file>

<file path=docProps/custom.xml><?xml version="1.0" encoding="utf-8"?>
<Properties xmlns="http://schemas.openxmlformats.org/officeDocument/2006/custom-properties" xmlns:vt="http://schemas.openxmlformats.org/officeDocument/2006/docPropsVTypes"/>
</file>