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建设工程咨询合同怎么交印花税(十四篇)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建设工程咨询合同印花税 建设工程咨询合同怎么交印花税一咨询单位名称(乙方)：甲乙双方按照《中华人民共和国经济合同法》和《建筑工程承包合同条例》规定的原则，结合工程的实际情况，达成如下协议。 山阳县 项目的造价工作。核对完成日期：按甲方要求日...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建设工程咨询合同印花税 建设工程咨询合同怎么交印花税篇十一</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建设工程咨询合同怎么交印花税篇十二</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